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A279" w14:textId="77777777" w:rsidR="004D4B32" w:rsidRDefault="004D4B32" w:rsidP="00FE371D">
      <w:pPr>
        <w:rPr>
          <w:rFonts w:ascii="Arial" w:hAnsi="Arial" w:cs="Arial"/>
          <w:b/>
          <w:sz w:val="24"/>
          <w:szCs w:val="24"/>
        </w:rPr>
      </w:pPr>
    </w:p>
    <w:p w14:paraId="399620EE" w14:textId="60DB5003" w:rsidR="00DF225A" w:rsidRPr="00BE10CC" w:rsidRDefault="00DF225A" w:rsidP="002A24B1">
      <w:pPr>
        <w:jc w:val="center"/>
        <w:rPr>
          <w:rFonts w:ascii="Arial" w:hAnsi="Arial" w:cs="Arial"/>
          <w:b/>
          <w:sz w:val="24"/>
          <w:szCs w:val="24"/>
        </w:rPr>
      </w:pPr>
      <w:r w:rsidRPr="00BE10CC">
        <w:rPr>
          <w:rFonts w:ascii="Arial" w:hAnsi="Arial" w:cs="Arial"/>
          <w:b/>
          <w:sz w:val="24"/>
          <w:szCs w:val="24"/>
        </w:rPr>
        <w:t xml:space="preserve">Reserves Strategy </w:t>
      </w:r>
      <w:r w:rsidR="00D95DFD">
        <w:rPr>
          <w:rFonts w:ascii="Arial" w:hAnsi="Arial" w:cs="Arial"/>
          <w:b/>
          <w:sz w:val="24"/>
          <w:szCs w:val="24"/>
        </w:rPr>
        <w:t xml:space="preserve">from </w:t>
      </w:r>
      <w:r w:rsidRPr="00BE10CC">
        <w:rPr>
          <w:rFonts w:ascii="Arial" w:hAnsi="Arial" w:cs="Arial"/>
          <w:b/>
          <w:sz w:val="24"/>
          <w:szCs w:val="24"/>
        </w:rPr>
        <w:t>20</w:t>
      </w:r>
      <w:r w:rsidR="00D95DFD">
        <w:rPr>
          <w:rFonts w:ascii="Arial" w:hAnsi="Arial" w:cs="Arial"/>
          <w:b/>
          <w:sz w:val="24"/>
          <w:szCs w:val="24"/>
        </w:rPr>
        <w:t>2</w:t>
      </w:r>
      <w:r w:rsidR="001D664E">
        <w:rPr>
          <w:rFonts w:ascii="Arial" w:hAnsi="Arial" w:cs="Arial"/>
          <w:b/>
          <w:sz w:val="24"/>
          <w:szCs w:val="24"/>
        </w:rPr>
        <w:t>4</w:t>
      </w:r>
      <w:r w:rsidR="00BF4AF0" w:rsidRPr="00BE10CC">
        <w:rPr>
          <w:rFonts w:ascii="Arial" w:hAnsi="Arial" w:cs="Arial"/>
          <w:b/>
          <w:sz w:val="24"/>
          <w:szCs w:val="24"/>
        </w:rPr>
        <w:t>/</w:t>
      </w:r>
      <w:r w:rsidR="00D95DFD">
        <w:rPr>
          <w:rFonts w:ascii="Arial" w:hAnsi="Arial" w:cs="Arial"/>
          <w:b/>
          <w:sz w:val="24"/>
          <w:szCs w:val="24"/>
        </w:rPr>
        <w:t>2</w:t>
      </w:r>
      <w:r w:rsidR="001D664E">
        <w:rPr>
          <w:rFonts w:ascii="Arial" w:hAnsi="Arial" w:cs="Arial"/>
          <w:b/>
          <w:sz w:val="24"/>
          <w:szCs w:val="24"/>
        </w:rPr>
        <w:t>5</w:t>
      </w:r>
      <w:r w:rsidR="00A74361">
        <w:rPr>
          <w:rFonts w:ascii="Arial" w:hAnsi="Arial" w:cs="Arial"/>
          <w:b/>
          <w:sz w:val="24"/>
          <w:szCs w:val="24"/>
        </w:rPr>
        <w:br/>
      </w:r>
    </w:p>
    <w:p w14:paraId="1CACC5B0" w14:textId="11563AF9" w:rsidR="00641566" w:rsidRDefault="00EE7933" w:rsidP="00A74361">
      <w:pPr>
        <w:pStyle w:val="ListParagraph"/>
        <w:numPr>
          <w:ilvl w:val="0"/>
          <w:numId w:val="6"/>
        </w:numPr>
        <w:ind w:left="709" w:hanging="709"/>
        <w:jc w:val="both"/>
        <w:rPr>
          <w:rFonts w:ascii="Arial" w:hAnsi="Arial" w:cs="Arial"/>
          <w:b/>
          <w:sz w:val="24"/>
          <w:szCs w:val="24"/>
        </w:rPr>
      </w:pPr>
      <w:r w:rsidRPr="00BE10CC">
        <w:rPr>
          <w:rFonts w:ascii="Arial" w:hAnsi="Arial" w:cs="Arial"/>
          <w:b/>
          <w:sz w:val="24"/>
          <w:szCs w:val="24"/>
        </w:rPr>
        <w:t>Introduction</w:t>
      </w:r>
      <w:r w:rsidR="00DA44F2" w:rsidRPr="00BE10CC">
        <w:rPr>
          <w:rFonts w:ascii="Arial" w:hAnsi="Arial" w:cs="Arial"/>
          <w:b/>
          <w:sz w:val="24"/>
          <w:szCs w:val="24"/>
        </w:rPr>
        <w:t xml:space="preserve"> and Background</w:t>
      </w:r>
    </w:p>
    <w:p w14:paraId="34211FC0" w14:textId="77777777" w:rsidR="001B43EB" w:rsidRPr="00BE10CC" w:rsidRDefault="001B43EB" w:rsidP="00BE10CC">
      <w:pPr>
        <w:pStyle w:val="ListParagraph"/>
        <w:ind w:left="360"/>
        <w:jc w:val="both"/>
        <w:rPr>
          <w:rFonts w:ascii="Arial" w:hAnsi="Arial" w:cs="Arial"/>
          <w:b/>
          <w:sz w:val="24"/>
          <w:szCs w:val="24"/>
        </w:rPr>
      </w:pPr>
    </w:p>
    <w:p w14:paraId="7EA380DA" w14:textId="133C79EE" w:rsidR="001B43EB" w:rsidRDefault="00701BE4" w:rsidP="00A74361">
      <w:pPr>
        <w:pStyle w:val="ListParagraph"/>
        <w:numPr>
          <w:ilvl w:val="1"/>
          <w:numId w:val="6"/>
        </w:numPr>
        <w:ind w:left="709" w:hanging="709"/>
        <w:rPr>
          <w:rFonts w:ascii="Arial" w:hAnsi="Arial" w:cs="Arial"/>
          <w:sz w:val="24"/>
          <w:szCs w:val="24"/>
        </w:rPr>
      </w:pPr>
      <w:r w:rsidRPr="00701BE4">
        <w:rPr>
          <w:rFonts w:ascii="Arial" w:hAnsi="Arial" w:cs="Arial"/>
          <w:sz w:val="24"/>
          <w:szCs w:val="24"/>
        </w:rPr>
        <w:t xml:space="preserve">Police </w:t>
      </w:r>
      <w:r w:rsidR="005E003D">
        <w:rPr>
          <w:rFonts w:ascii="Arial" w:hAnsi="Arial" w:cs="Arial"/>
          <w:sz w:val="24"/>
          <w:szCs w:val="24"/>
        </w:rPr>
        <w:t xml:space="preserve">(Fire) </w:t>
      </w:r>
      <w:r w:rsidRPr="00701BE4">
        <w:rPr>
          <w:rFonts w:ascii="Arial" w:hAnsi="Arial" w:cs="Arial"/>
          <w:sz w:val="24"/>
          <w:szCs w:val="24"/>
        </w:rPr>
        <w:t>and Crime Commissioners (PCCs/PFCCs) can keep part of their funding in financial reserves to help manage financial risk and to fund major future costs such as change programmes aimed at improving services to the public. Usable financial reserves are split into r</w:t>
      </w:r>
      <w:r w:rsidR="002B6022">
        <w:rPr>
          <w:rFonts w:ascii="Arial" w:hAnsi="Arial" w:cs="Arial"/>
          <w:sz w:val="24"/>
          <w:szCs w:val="24"/>
        </w:rPr>
        <w:t>evenue</w:t>
      </w:r>
      <w:r w:rsidRPr="00701BE4">
        <w:rPr>
          <w:rFonts w:ascii="Arial" w:hAnsi="Arial" w:cs="Arial"/>
          <w:sz w:val="24"/>
          <w:szCs w:val="24"/>
        </w:rPr>
        <w:t xml:space="preserve"> and capital. Re</w:t>
      </w:r>
      <w:r w:rsidR="002B6022">
        <w:rPr>
          <w:rFonts w:ascii="Arial" w:hAnsi="Arial" w:cs="Arial"/>
          <w:sz w:val="24"/>
          <w:szCs w:val="24"/>
        </w:rPr>
        <w:t>venue</w:t>
      </w:r>
      <w:r w:rsidRPr="00701BE4">
        <w:rPr>
          <w:rFonts w:ascii="Arial" w:hAnsi="Arial" w:cs="Arial"/>
          <w:sz w:val="24"/>
          <w:szCs w:val="24"/>
        </w:rPr>
        <w:t xml:space="preserve"> reserves are categorised into a general </w:t>
      </w:r>
      <w:r w:rsidR="00613880">
        <w:rPr>
          <w:rFonts w:ascii="Arial" w:hAnsi="Arial" w:cs="Arial"/>
          <w:sz w:val="24"/>
          <w:szCs w:val="24"/>
        </w:rPr>
        <w:t>reserve</w:t>
      </w:r>
      <w:r w:rsidRPr="00701BE4">
        <w:rPr>
          <w:rFonts w:ascii="Arial" w:hAnsi="Arial" w:cs="Arial"/>
          <w:sz w:val="24"/>
          <w:szCs w:val="24"/>
        </w:rPr>
        <w:t xml:space="preserve"> to cover unforeseen pressures and earmarked reserves which are each held for a specific purpose. Capital reserves are ring-fenced for capital investment</w:t>
      </w:r>
      <w:r w:rsidR="007817C9">
        <w:rPr>
          <w:rFonts w:ascii="Arial" w:hAnsi="Arial" w:cs="Arial"/>
          <w:sz w:val="24"/>
          <w:szCs w:val="24"/>
        </w:rPr>
        <w:t>.</w:t>
      </w:r>
      <w:r w:rsidRPr="00701BE4">
        <w:rPr>
          <w:rFonts w:ascii="Arial" w:hAnsi="Arial" w:cs="Arial"/>
          <w:sz w:val="24"/>
          <w:szCs w:val="24"/>
        </w:rPr>
        <w:t xml:space="preserve"> </w:t>
      </w:r>
    </w:p>
    <w:p w14:paraId="07C487FD" w14:textId="77777777" w:rsidR="00A04D4D" w:rsidRPr="00701BE4" w:rsidRDefault="00A04D4D" w:rsidP="00A74361">
      <w:pPr>
        <w:pStyle w:val="ListParagraph"/>
        <w:ind w:left="709"/>
        <w:rPr>
          <w:rFonts w:ascii="Arial" w:hAnsi="Arial" w:cs="Arial"/>
          <w:sz w:val="24"/>
          <w:szCs w:val="24"/>
        </w:rPr>
      </w:pPr>
    </w:p>
    <w:p w14:paraId="0013D248" w14:textId="37845B47" w:rsidR="001B43EB" w:rsidRDefault="00701BE4" w:rsidP="00A74361">
      <w:pPr>
        <w:pStyle w:val="ListParagraph"/>
        <w:numPr>
          <w:ilvl w:val="1"/>
          <w:numId w:val="6"/>
        </w:numPr>
        <w:ind w:left="709" w:hanging="709"/>
        <w:rPr>
          <w:rFonts w:ascii="Arial" w:hAnsi="Arial" w:cs="Arial"/>
          <w:sz w:val="24"/>
          <w:szCs w:val="24"/>
        </w:rPr>
      </w:pPr>
      <w:r>
        <w:rPr>
          <w:rFonts w:ascii="Arial" w:hAnsi="Arial" w:cs="Arial"/>
          <w:sz w:val="24"/>
          <w:szCs w:val="24"/>
        </w:rPr>
        <w:t>T</w:t>
      </w:r>
      <w:r w:rsidRPr="00701BE4">
        <w:rPr>
          <w:rFonts w:ascii="Arial" w:hAnsi="Arial" w:cs="Arial"/>
          <w:sz w:val="24"/>
          <w:szCs w:val="24"/>
        </w:rPr>
        <w:t xml:space="preserve">he Home Office publishes police financial </w:t>
      </w:r>
      <w:r>
        <w:rPr>
          <w:rFonts w:ascii="Arial" w:hAnsi="Arial" w:cs="Arial"/>
          <w:sz w:val="24"/>
          <w:szCs w:val="24"/>
        </w:rPr>
        <w:t>r</w:t>
      </w:r>
      <w:r w:rsidRPr="00701BE4">
        <w:rPr>
          <w:rFonts w:ascii="Arial" w:hAnsi="Arial" w:cs="Arial"/>
          <w:sz w:val="24"/>
          <w:szCs w:val="24"/>
        </w:rPr>
        <w:t>eserves each year for PCCs/PFCCs in England and Wales</w:t>
      </w:r>
      <w:r w:rsidR="007817C9">
        <w:rPr>
          <w:rFonts w:ascii="Arial" w:hAnsi="Arial" w:cs="Arial"/>
          <w:sz w:val="24"/>
          <w:szCs w:val="24"/>
        </w:rPr>
        <w:t>. T</w:t>
      </w:r>
      <w:r w:rsidRPr="00701BE4">
        <w:rPr>
          <w:rFonts w:ascii="Arial" w:hAnsi="Arial" w:cs="Arial"/>
          <w:sz w:val="24"/>
          <w:szCs w:val="24"/>
        </w:rPr>
        <w:t>he latest publication (</w:t>
      </w:r>
      <w:r w:rsidR="00167C42">
        <w:rPr>
          <w:rFonts w:ascii="Arial" w:hAnsi="Arial" w:cs="Arial"/>
          <w:sz w:val="24"/>
          <w:szCs w:val="24"/>
        </w:rPr>
        <w:t>1</w:t>
      </w:r>
      <w:r w:rsidR="00B925AD">
        <w:rPr>
          <w:rFonts w:ascii="Arial" w:hAnsi="Arial" w:cs="Arial"/>
          <w:sz w:val="24"/>
          <w:szCs w:val="24"/>
        </w:rPr>
        <w:t xml:space="preserve"> </w:t>
      </w:r>
      <w:r w:rsidRPr="00701BE4">
        <w:rPr>
          <w:rFonts w:ascii="Arial" w:hAnsi="Arial" w:cs="Arial"/>
          <w:sz w:val="24"/>
          <w:szCs w:val="24"/>
        </w:rPr>
        <w:t>Ma</w:t>
      </w:r>
      <w:r w:rsidR="001D664E">
        <w:rPr>
          <w:rFonts w:ascii="Arial" w:hAnsi="Arial" w:cs="Arial"/>
          <w:sz w:val="24"/>
          <w:szCs w:val="24"/>
        </w:rPr>
        <w:t>rch</w:t>
      </w:r>
      <w:r w:rsidRPr="00701BE4">
        <w:rPr>
          <w:rFonts w:ascii="Arial" w:hAnsi="Arial" w:cs="Arial"/>
          <w:sz w:val="24"/>
          <w:szCs w:val="24"/>
        </w:rPr>
        <w:t xml:space="preserve"> 202</w:t>
      </w:r>
      <w:r w:rsidR="00B36FB8">
        <w:rPr>
          <w:rFonts w:ascii="Arial" w:hAnsi="Arial" w:cs="Arial"/>
          <w:sz w:val="24"/>
          <w:szCs w:val="24"/>
        </w:rPr>
        <w:t>3</w:t>
      </w:r>
      <w:r w:rsidRPr="00701BE4">
        <w:rPr>
          <w:rFonts w:ascii="Arial" w:hAnsi="Arial" w:cs="Arial"/>
          <w:sz w:val="24"/>
          <w:szCs w:val="24"/>
        </w:rPr>
        <w:t xml:space="preserve">) shows that police </w:t>
      </w:r>
      <w:proofErr w:type="gramStart"/>
      <w:r w:rsidRPr="00701BE4">
        <w:rPr>
          <w:rFonts w:ascii="Arial" w:hAnsi="Arial" w:cs="Arial"/>
          <w:sz w:val="24"/>
          <w:szCs w:val="24"/>
        </w:rPr>
        <w:t>reserves</w:t>
      </w:r>
      <w:proofErr w:type="gramEnd"/>
      <w:r w:rsidRPr="00701BE4">
        <w:rPr>
          <w:rFonts w:ascii="Arial" w:hAnsi="Arial" w:cs="Arial"/>
          <w:sz w:val="24"/>
          <w:szCs w:val="24"/>
        </w:rPr>
        <w:t xml:space="preserve"> at 31</w:t>
      </w:r>
      <w:r w:rsidR="00CF2247">
        <w:rPr>
          <w:rFonts w:ascii="Arial" w:hAnsi="Arial" w:cs="Arial"/>
          <w:sz w:val="24"/>
          <w:szCs w:val="24"/>
        </w:rPr>
        <w:t xml:space="preserve"> </w:t>
      </w:r>
      <w:r w:rsidRPr="00701BE4">
        <w:rPr>
          <w:rFonts w:ascii="Arial" w:hAnsi="Arial" w:cs="Arial"/>
          <w:sz w:val="24"/>
          <w:szCs w:val="24"/>
        </w:rPr>
        <w:t>March 202</w:t>
      </w:r>
      <w:r w:rsidR="00B36FB8">
        <w:rPr>
          <w:rFonts w:ascii="Arial" w:hAnsi="Arial" w:cs="Arial"/>
          <w:sz w:val="24"/>
          <w:szCs w:val="24"/>
        </w:rPr>
        <w:t>1</w:t>
      </w:r>
      <w:r w:rsidRPr="00701BE4">
        <w:rPr>
          <w:rFonts w:ascii="Arial" w:hAnsi="Arial" w:cs="Arial"/>
          <w:sz w:val="24"/>
          <w:szCs w:val="24"/>
        </w:rPr>
        <w:t xml:space="preserve"> consisted of £</w:t>
      </w:r>
      <w:r w:rsidR="00B36FB8">
        <w:rPr>
          <w:rFonts w:ascii="Arial" w:hAnsi="Arial" w:cs="Arial"/>
          <w:sz w:val="24"/>
          <w:szCs w:val="24"/>
        </w:rPr>
        <w:t>1.816</w:t>
      </w:r>
      <w:r w:rsidRPr="00701BE4">
        <w:rPr>
          <w:rFonts w:ascii="Arial" w:hAnsi="Arial" w:cs="Arial"/>
          <w:sz w:val="24"/>
          <w:szCs w:val="24"/>
        </w:rPr>
        <w:t>bn of revenue reserves (</w:t>
      </w:r>
      <w:r w:rsidR="00D7769C">
        <w:rPr>
          <w:rFonts w:ascii="Arial" w:hAnsi="Arial" w:cs="Arial"/>
          <w:sz w:val="24"/>
          <w:szCs w:val="24"/>
        </w:rPr>
        <w:t>13.3</w:t>
      </w:r>
      <w:r w:rsidRPr="00701BE4">
        <w:rPr>
          <w:rFonts w:ascii="Arial" w:hAnsi="Arial" w:cs="Arial"/>
          <w:sz w:val="24"/>
          <w:szCs w:val="24"/>
        </w:rPr>
        <w:t>% of revenue resources</w:t>
      </w:r>
      <w:r w:rsidR="00556B5F">
        <w:rPr>
          <w:rFonts w:ascii="Arial" w:hAnsi="Arial" w:cs="Arial"/>
          <w:sz w:val="24"/>
          <w:szCs w:val="24"/>
        </w:rPr>
        <w:t>)</w:t>
      </w:r>
      <w:r w:rsidRPr="00701BE4">
        <w:rPr>
          <w:rFonts w:ascii="Arial" w:hAnsi="Arial" w:cs="Arial"/>
          <w:sz w:val="24"/>
          <w:szCs w:val="24"/>
        </w:rPr>
        <w:t xml:space="preserve"> and £</w:t>
      </w:r>
      <w:r w:rsidR="005D7178">
        <w:rPr>
          <w:rFonts w:ascii="Arial" w:hAnsi="Arial" w:cs="Arial"/>
          <w:sz w:val="24"/>
          <w:szCs w:val="24"/>
        </w:rPr>
        <w:t>0.135</w:t>
      </w:r>
      <w:r w:rsidRPr="00701BE4">
        <w:rPr>
          <w:rFonts w:ascii="Arial" w:hAnsi="Arial" w:cs="Arial"/>
          <w:sz w:val="24"/>
          <w:szCs w:val="24"/>
        </w:rPr>
        <w:t>bn of capital reserves. The general reserves account for £</w:t>
      </w:r>
      <w:r w:rsidR="00B94A11">
        <w:rPr>
          <w:rFonts w:ascii="Arial" w:hAnsi="Arial" w:cs="Arial"/>
          <w:sz w:val="24"/>
          <w:szCs w:val="24"/>
        </w:rPr>
        <w:t>0.429</w:t>
      </w:r>
      <w:r w:rsidRPr="00701BE4">
        <w:rPr>
          <w:rFonts w:ascii="Arial" w:hAnsi="Arial" w:cs="Arial"/>
          <w:sz w:val="24"/>
          <w:szCs w:val="24"/>
        </w:rPr>
        <w:t>bn of the revenue reserves (3.1% of revenue resources) whilst earmarked reserves are £</w:t>
      </w:r>
      <w:r w:rsidR="00EA7E41">
        <w:rPr>
          <w:rFonts w:ascii="Arial" w:hAnsi="Arial" w:cs="Arial"/>
          <w:sz w:val="24"/>
          <w:szCs w:val="24"/>
        </w:rPr>
        <w:t>1.387</w:t>
      </w:r>
      <w:r w:rsidRPr="00701BE4">
        <w:rPr>
          <w:rFonts w:ascii="Arial" w:hAnsi="Arial" w:cs="Arial"/>
          <w:sz w:val="24"/>
          <w:szCs w:val="24"/>
        </w:rPr>
        <w:t>bn (</w:t>
      </w:r>
      <w:r w:rsidR="00EA7E41">
        <w:rPr>
          <w:rFonts w:ascii="Arial" w:hAnsi="Arial" w:cs="Arial"/>
          <w:sz w:val="24"/>
          <w:szCs w:val="24"/>
        </w:rPr>
        <w:t>10.2</w:t>
      </w:r>
      <w:r w:rsidRPr="00701BE4">
        <w:rPr>
          <w:rFonts w:ascii="Arial" w:hAnsi="Arial" w:cs="Arial"/>
          <w:sz w:val="24"/>
          <w:szCs w:val="24"/>
        </w:rPr>
        <w:t xml:space="preserve">% of revenue </w:t>
      </w:r>
      <w:r w:rsidR="00EA7E41">
        <w:rPr>
          <w:rFonts w:ascii="Arial" w:hAnsi="Arial" w:cs="Arial"/>
          <w:sz w:val="24"/>
          <w:szCs w:val="24"/>
        </w:rPr>
        <w:t>resources</w:t>
      </w:r>
      <w:r w:rsidR="000A3364">
        <w:rPr>
          <w:rFonts w:ascii="Arial" w:hAnsi="Arial" w:cs="Arial"/>
          <w:sz w:val="24"/>
          <w:szCs w:val="24"/>
        </w:rPr>
        <w:t>)</w:t>
      </w:r>
      <w:r w:rsidR="00AD0E05" w:rsidRPr="00BE10CC">
        <w:rPr>
          <w:rFonts w:ascii="Arial" w:hAnsi="Arial" w:cs="Arial"/>
          <w:sz w:val="24"/>
          <w:szCs w:val="24"/>
        </w:rPr>
        <w:t xml:space="preserve">. </w:t>
      </w:r>
    </w:p>
    <w:p w14:paraId="466E86EF" w14:textId="77777777" w:rsidR="005E003D" w:rsidRPr="005E003D" w:rsidRDefault="005E003D" w:rsidP="005E003D">
      <w:pPr>
        <w:pStyle w:val="ListParagraph"/>
        <w:rPr>
          <w:rFonts w:ascii="Arial" w:hAnsi="Arial" w:cs="Arial"/>
          <w:sz w:val="24"/>
          <w:szCs w:val="24"/>
        </w:rPr>
      </w:pPr>
    </w:p>
    <w:p w14:paraId="30BF25F6" w14:textId="25E66E80" w:rsidR="006022EA" w:rsidRPr="006022EA" w:rsidRDefault="005E003D" w:rsidP="00A74361">
      <w:pPr>
        <w:pStyle w:val="ListParagraph"/>
        <w:numPr>
          <w:ilvl w:val="1"/>
          <w:numId w:val="6"/>
        </w:numPr>
        <w:ind w:left="709" w:hanging="709"/>
        <w:rPr>
          <w:rFonts w:ascii="Arial" w:hAnsi="Arial" w:cs="Arial"/>
          <w:sz w:val="24"/>
          <w:szCs w:val="24"/>
        </w:rPr>
      </w:pPr>
      <w:r w:rsidRPr="006022EA">
        <w:rPr>
          <w:rFonts w:ascii="Arial" w:hAnsi="Arial" w:cs="Arial"/>
          <w:sz w:val="24"/>
          <w:szCs w:val="24"/>
        </w:rPr>
        <w:t>In 2018 the Minister for Police and Fire Service issued a requirement for all PCCs</w:t>
      </w:r>
      <w:r w:rsidR="001F1224">
        <w:rPr>
          <w:rFonts w:ascii="Arial" w:hAnsi="Arial" w:cs="Arial"/>
          <w:sz w:val="24"/>
          <w:szCs w:val="24"/>
        </w:rPr>
        <w:t>/PFCCs</w:t>
      </w:r>
      <w:r w:rsidRPr="006022EA">
        <w:rPr>
          <w:rFonts w:ascii="Arial" w:hAnsi="Arial" w:cs="Arial"/>
          <w:sz w:val="24"/>
          <w:szCs w:val="24"/>
        </w:rPr>
        <w:t xml:space="preserve"> to provide transparent reserve data for current and future years.</w:t>
      </w:r>
    </w:p>
    <w:p w14:paraId="30200930" w14:textId="77777777" w:rsidR="006022EA" w:rsidRPr="006022EA" w:rsidRDefault="006022EA" w:rsidP="006022EA">
      <w:pPr>
        <w:pStyle w:val="ListParagraph"/>
        <w:ind w:left="792"/>
        <w:jc w:val="both"/>
        <w:rPr>
          <w:rFonts w:ascii="Arial" w:hAnsi="Arial" w:cs="Arial"/>
          <w:sz w:val="24"/>
          <w:szCs w:val="24"/>
        </w:rPr>
      </w:pPr>
    </w:p>
    <w:p w14:paraId="580D4077" w14:textId="7FA91337" w:rsidR="006022EA" w:rsidRPr="006022EA" w:rsidRDefault="006022EA" w:rsidP="00A74361">
      <w:pPr>
        <w:pStyle w:val="ListParagraph"/>
        <w:numPr>
          <w:ilvl w:val="1"/>
          <w:numId w:val="6"/>
        </w:numPr>
        <w:ind w:left="709" w:hanging="709"/>
        <w:rPr>
          <w:rFonts w:ascii="Arial" w:hAnsi="Arial" w:cs="Arial"/>
          <w:sz w:val="24"/>
          <w:szCs w:val="24"/>
        </w:rPr>
      </w:pPr>
      <w:r w:rsidRPr="006022EA">
        <w:rPr>
          <w:rFonts w:ascii="Arial" w:hAnsi="Arial" w:cs="Arial"/>
          <w:sz w:val="24"/>
          <w:szCs w:val="24"/>
        </w:rPr>
        <w:t>The Minster for Police has issued clear guidance on the publication of reserve information. One of these requirements was for the PFCC to make clear how much funding falls into the following categories</w:t>
      </w:r>
      <w:r w:rsidR="002A24B1">
        <w:rPr>
          <w:rFonts w:ascii="Arial" w:hAnsi="Arial" w:cs="Arial"/>
          <w:sz w:val="24"/>
          <w:szCs w:val="24"/>
        </w:rPr>
        <w:t>:</w:t>
      </w:r>
    </w:p>
    <w:p w14:paraId="0F6F00C1" w14:textId="77777777" w:rsidR="006022EA" w:rsidRPr="006022EA" w:rsidRDefault="006022EA" w:rsidP="006022EA">
      <w:pPr>
        <w:pStyle w:val="ListParagraph"/>
        <w:ind w:left="792"/>
        <w:jc w:val="both"/>
        <w:rPr>
          <w:rFonts w:ascii="Arial" w:hAnsi="Arial" w:cs="Arial"/>
          <w:sz w:val="24"/>
          <w:szCs w:val="24"/>
        </w:rPr>
      </w:pPr>
    </w:p>
    <w:p w14:paraId="307CB8B1" w14:textId="77777777" w:rsidR="006022EA" w:rsidRPr="006022EA" w:rsidRDefault="006022EA" w:rsidP="00A74361">
      <w:pPr>
        <w:pStyle w:val="ListParagraph"/>
        <w:numPr>
          <w:ilvl w:val="2"/>
          <w:numId w:val="28"/>
        </w:numPr>
        <w:rPr>
          <w:rFonts w:ascii="Arial" w:hAnsi="Arial" w:cs="Arial"/>
          <w:sz w:val="24"/>
          <w:szCs w:val="24"/>
        </w:rPr>
      </w:pPr>
      <w:r w:rsidRPr="006022EA">
        <w:rPr>
          <w:rFonts w:ascii="Arial" w:hAnsi="Arial" w:cs="Arial"/>
          <w:sz w:val="24"/>
          <w:szCs w:val="24"/>
        </w:rPr>
        <w:t xml:space="preserve">Funding for planned expenditure on projects and programmes over the period of the current medium term financial plan </w:t>
      </w:r>
    </w:p>
    <w:p w14:paraId="3BC62A34" w14:textId="77777777" w:rsidR="006022EA" w:rsidRPr="006022EA" w:rsidRDefault="006022EA" w:rsidP="00A74361">
      <w:pPr>
        <w:pStyle w:val="ListParagraph"/>
        <w:numPr>
          <w:ilvl w:val="2"/>
          <w:numId w:val="28"/>
        </w:numPr>
        <w:rPr>
          <w:rFonts w:ascii="Arial" w:hAnsi="Arial" w:cs="Arial"/>
          <w:sz w:val="24"/>
          <w:szCs w:val="24"/>
        </w:rPr>
      </w:pPr>
      <w:r w:rsidRPr="006022EA">
        <w:rPr>
          <w:rFonts w:ascii="Arial" w:hAnsi="Arial" w:cs="Arial"/>
          <w:sz w:val="24"/>
          <w:szCs w:val="24"/>
        </w:rPr>
        <w:t>Funding for specific projects and programmes beyond the current planning period</w:t>
      </w:r>
    </w:p>
    <w:p w14:paraId="3C4DE6CE" w14:textId="2B2D4B1C" w:rsidR="006022EA" w:rsidRPr="006022EA" w:rsidRDefault="006022EA" w:rsidP="00A74361">
      <w:pPr>
        <w:pStyle w:val="ListParagraph"/>
        <w:numPr>
          <w:ilvl w:val="2"/>
          <w:numId w:val="28"/>
        </w:numPr>
        <w:rPr>
          <w:rFonts w:ascii="Arial" w:hAnsi="Arial" w:cs="Arial"/>
          <w:sz w:val="24"/>
          <w:szCs w:val="24"/>
        </w:rPr>
      </w:pPr>
      <w:r w:rsidRPr="006022EA">
        <w:rPr>
          <w:rFonts w:ascii="Arial" w:hAnsi="Arial" w:cs="Arial"/>
          <w:sz w:val="24"/>
          <w:szCs w:val="24"/>
        </w:rPr>
        <w:t>As a general contingency or resource to meet other expenditure needs held in accordance with sound principles of good financial management (</w:t>
      </w:r>
      <w:r w:rsidR="001F1224" w:rsidRPr="006022EA">
        <w:rPr>
          <w:rFonts w:ascii="Arial" w:hAnsi="Arial" w:cs="Arial"/>
          <w:sz w:val="24"/>
          <w:szCs w:val="24"/>
        </w:rPr>
        <w:t>e.g.,</w:t>
      </w:r>
      <w:r w:rsidRPr="006022EA">
        <w:rPr>
          <w:rFonts w:ascii="Arial" w:hAnsi="Arial" w:cs="Arial"/>
          <w:sz w:val="24"/>
          <w:szCs w:val="24"/>
        </w:rPr>
        <w:t xml:space="preserve"> insurance) </w:t>
      </w:r>
    </w:p>
    <w:p w14:paraId="17321D62" w14:textId="77777777" w:rsidR="00E559D3" w:rsidRPr="00E559D3" w:rsidRDefault="00E559D3" w:rsidP="00E559D3">
      <w:pPr>
        <w:pStyle w:val="ListParagraph"/>
        <w:rPr>
          <w:rFonts w:ascii="Arial" w:hAnsi="Arial" w:cs="Arial"/>
          <w:sz w:val="24"/>
          <w:szCs w:val="24"/>
        </w:rPr>
      </w:pPr>
    </w:p>
    <w:p w14:paraId="45E21856" w14:textId="70318809" w:rsidR="00E559D3" w:rsidRPr="00E559D3" w:rsidRDefault="00E559D3" w:rsidP="00A74361">
      <w:pPr>
        <w:pStyle w:val="ListParagraph"/>
        <w:numPr>
          <w:ilvl w:val="1"/>
          <w:numId w:val="6"/>
        </w:numPr>
        <w:ind w:left="709" w:hanging="709"/>
        <w:rPr>
          <w:rFonts w:ascii="Arial" w:hAnsi="Arial" w:cs="Arial"/>
          <w:sz w:val="24"/>
          <w:szCs w:val="24"/>
        </w:rPr>
      </w:pPr>
      <w:r w:rsidRPr="00E559D3">
        <w:rPr>
          <w:rFonts w:ascii="Arial" w:hAnsi="Arial" w:cs="Arial"/>
          <w:sz w:val="24"/>
          <w:szCs w:val="24"/>
        </w:rPr>
        <w:t xml:space="preserve">Reserves are held both for the annual budget and over the medium term as part of an overall </w:t>
      </w:r>
      <w:r w:rsidR="002B7126">
        <w:rPr>
          <w:rFonts w:ascii="Arial" w:hAnsi="Arial" w:cs="Arial"/>
          <w:sz w:val="24"/>
          <w:szCs w:val="24"/>
        </w:rPr>
        <w:t>Medium Term Financial Strategy (“</w:t>
      </w:r>
      <w:r w:rsidRPr="00E559D3">
        <w:rPr>
          <w:rFonts w:ascii="Arial" w:hAnsi="Arial" w:cs="Arial"/>
          <w:sz w:val="24"/>
          <w:szCs w:val="24"/>
        </w:rPr>
        <w:t>MTFS</w:t>
      </w:r>
      <w:r w:rsidR="002B7126">
        <w:rPr>
          <w:rFonts w:ascii="Arial" w:hAnsi="Arial" w:cs="Arial"/>
          <w:sz w:val="24"/>
          <w:szCs w:val="24"/>
        </w:rPr>
        <w:t>”)</w:t>
      </w:r>
      <w:r w:rsidRPr="00E559D3">
        <w:rPr>
          <w:rFonts w:ascii="Arial" w:hAnsi="Arial" w:cs="Arial"/>
          <w:sz w:val="24"/>
          <w:szCs w:val="24"/>
        </w:rPr>
        <w:t xml:space="preserve"> and are a crucial part of preventing the PFCC from over committing financially. There are a number of legislative requirements in place that are supported by the appropriate governance of reserves. These include</w:t>
      </w:r>
      <w:r w:rsidR="00A74361">
        <w:rPr>
          <w:rFonts w:ascii="Arial" w:hAnsi="Arial" w:cs="Arial"/>
          <w:sz w:val="24"/>
          <w:szCs w:val="24"/>
        </w:rPr>
        <w:t>:</w:t>
      </w:r>
      <w:r w:rsidR="00A74361">
        <w:rPr>
          <w:rFonts w:ascii="Arial" w:hAnsi="Arial" w:cs="Arial"/>
          <w:sz w:val="24"/>
          <w:szCs w:val="24"/>
        </w:rPr>
        <w:br/>
      </w:r>
    </w:p>
    <w:p w14:paraId="384859A3" w14:textId="3EFD6D44" w:rsidR="00E559D3" w:rsidRDefault="00E559D3" w:rsidP="00A74361">
      <w:pPr>
        <w:pStyle w:val="ListParagraph"/>
        <w:numPr>
          <w:ilvl w:val="2"/>
          <w:numId w:val="28"/>
        </w:numPr>
        <w:rPr>
          <w:rFonts w:ascii="Arial" w:hAnsi="Arial" w:cs="Arial"/>
          <w:sz w:val="24"/>
          <w:szCs w:val="24"/>
        </w:rPr>
      </w:pPr>
      <w:r w:rsidRPr="00E559D3">
        <w:rPr>
          <w:rFonts w:ascii="Arial" w:hAnsi="Arial" w:cs="Arial"/>
          <w:sz w:val="24"/>
          <w:szCs w:val="24"/>
        </w:rPr>
        <w:t xml:space="preserve">The requirement to set a balanced budget as set out within the Local Government Finance Act </w:t>
      </w:r>
      <w:r w:rsidR="00556B5F">
        <w:rPr>
          <w:rFonts w:ascii="Arial" w:hAnsi="Arial" w:cs="Arial"/>
          <w:sz w:val="24"/>
          <w:szCs w:val="24"/>
        </w:rPr>
        <w:t>1</w:t>
      </w:r>
      <w:r w:rsidRPr="00E559D3">
        <w:rPr>
          <w:rFonts w:ascii="Arial" w:hAnsi="Arial" w:cs="Arial"/>
          <w:sz w:val="24"/>
          <w:szCs w:val="24"/>
        </w:rPr>
        <w:t>992.</w:t>
      </w:r>
    </w:p>
    <w:p w14:paraId="3C961BBE" w14:textId="6A134C4A" w:rsidR="00E559D3" w:rsidRPr="00E559D3" w:rsidRDefault="00E559D3" w:rsidP="00A74361">
      <w:pPr>
        <w:pStyle w:val="ListParagraph"/>
        <w:numPr>
          <w:ilvl w:val="2"/>
          <w:numId w:val="28"/>
        </w:numPr>
        <w:rPr>
          <w:rFonts w:ascii="Arial" w:hAnsi="Arial" w:cs="Arial"/>
          <w:sz w:val="24"/>
          <w:szCs w:val="24"/>
        </w:rPr>
      </w:pPr>
      <w:r w:rsidRPr="00E559D3">
        <w:rPr>
          <w:rFonts w:ascii="Arial" w:hAnsi="Arial" w:cs="Arial"/>
          <w:sz w:val="24"/>
          <w:szCs w:val="24"/>
        </w:rPr>
        <w:t>The requirement for the P</w:t>
      </w:r>
      <w:r w:rsidR="001F1224">
        <w:rPr>
          <w:rFonts w:ascii="Arial" w:hAnsi="Arial" w:cs="Arial"/>
          <w:sz w:val="24"/>
          <w:szCs w:val="24"/>
        </w:rPr>
        <w:t>F</w:t>
      </w:r>
      <w:r w:rsidRPr="00E559D3">
        <w:rPr>
          <w:rFonts w:ascii="Arial" w:hAnsi="Arial" w:cs="Arial"/>
          <w:sz w:val="24"/>
          <w:szCs w:val="24"/>
        </w:rPr>
        <w:t xml:space="preserve">CC to </w:t>
      </w:r>
      <w:proofErr w:type="gramStart"/>
      <w:r w:rsidRPr="00E559D3">
        <w:rPr>
          <w:rFonts w:ascii="Arial" w:hAnsi="Arial" w:cs="Arial"/>
          <w:sz w:val="24"/>
          <w:szCs w:val="24"/>
        </w:rPr>
        <w:t>make arrangements</w:t>
      </w:r>
      <w:proofErr w:type="gramEnd"/>
      <w:r w:rsidRPr="00E559D3">
        <w:rPr>
          <w:rFonts w:ascii="Arial" w:hAnsi="Arial" w:cs="Arial"/>
          <w:sz w:val="24"/>
          <w:szCs w:val="24"/>
        </w:rPr>
        <w:t xml:space="preserve"> for the proper administration of their financial affairs and the appointment of a Chief Financial Officer to</w:t>
      </w:r>
      <w:r>
        <w:rPr>
          <w:rFonts w:ascii="Arial" w:hAnsi="Arial" w:cs="Arial"/>
          <w:sz w:val="24"/>
          <w:szCs w:val="24"/>
        </w:rPr>
        <w:t xml:space="preserve"> </w:t>
      </w:r>
      <w:r w:rsidRPr="00E559D3">
        <w:rPr>
          <w:rFonts w:ascii="Arial" w:hAnsi="Arial" w:cs="Arial"/>
          <w:sz w:val="24"/>
          <w:szCs w:val="24"/>
        </w:rPr>
        <w:t>take responsibility for the administration of those affairs.</w:t>
      </w:r>
    </w:p>
    <w:p w14:paraId="23271878" w14:textId="21EC2DA1" w:rsidR="00E559D3" w:rsidRPr="00E559D3" w:rsidRDefault="00E559D3" w:rsidP="00A74361">
      <w:pPr>
        <w:pStyle w:val="ListParagraph"/>
        <w:numPr>
          <w:ilvl w:val="2"/>
          <w:numId w:val="28"/>
        </w:numPr>
        <w:rPr>
          <w:rFonts w:ascii="Arial" w:hAnsi="Arial" w:cs="Arial"/>
          <w:sz w:val="24"/>
          <w:szCs w:val="24"/>
        </w:rPr>
      </w:pPr>
      <w:r w:rsidRPr="00E559D3">
        <w:rPr>
          <w:rFonts w:ascii="Arial" w:hAnsi="Arial" w:cs="Arial"/>
          <w:sz w:val="24"/>
          <w:szCs w:val="24"/>
        </w:rPr>
        <w:t xml:space="preserve">The requirements of the Prudential Code, Treasury Management in Public Services Code of </w:t>
      </w:r>
      <w:proofErr w:type="gramStart"/>
      <w:r w:rsidRPr="00E559D3">
        <w:rPr>
          <w:rFonts w:ascii="Arial" w:hAnsi="Arial" w:cs="Arial"/>
          <w:sz w:val="24"/>
          <w:szCs w:val="24"/>
        </w:rPr>
        <w:t>Practice</w:t>
      </w:r>
      <w:proofErr w:type="gramEnd"/>
      <w:r w:rsidRPr="00E559D3">
        <w:rPr>
          <w:rFonts w:ascii="Arial" w:hAnsi="Arial" w:cs="Arial"/>
          <w:sz w:val="24"/>
          <w:szCs w:val="24"/>
        </w:rPr>
        <w:t xml:space="preserve"> and the Financial Management Code of Practice.</w:t>
      </w:r>
    </w:p>
    <w:p w14:paraId="64C0AADE" w14:textId="4F9EE6D0" w:rsidR="00E559D3" w:rsidRPr="00E559D3" w:rsidRDefault="00E559D3" w:rsidP="00A74361">
      <w:pPr>
        <w:pStyle w:val="ListParagraph"/>
        <w:numPr>
          <w:ilvl w:val="2"/>
          <w:numId w:val="28"/>
        </w:numPr>
        <w:rPr>
          <w:rFonts w:ascii="Arial" w:hAnsi="Arial" w:cs="Arial"/>
          <w:sz w:val="24"/>
          <w:szCs w:val="24"/>
        </w:rPr>
      </w:pPr>
      <w:r w:rsidRPr="00E559D3">
        <w:rPr>
          <w:rFonts w:ascii="Arial" w:hAnsi="Arial" w:cs="Arial"/>
          <w:sz w:val="24"/>
          <w:szCs w:val="24"/>
        </w:rPr>
        <w:t>The P</w:t>
      </w:r>
      <w:r w:rsidR="001F1224">
        <w:rPr>
          <w:rFonts w:ascii="Arial" w:hAnsi="Arial" w:cs="Arial"/>
          <w:sz w:val="24"/>
          <w:szCs w:val="24"/>
        </w:rPr>
        <w:t>F</w:t>
      </w:r>
      <w:r w:rsidRPr="00E559D3">
        <w:rPr>
          <w:rFonts w:ascii="Arial" w:hAnsi="Arial" w:cs="Arial"/>
          <w:sz w:val="24"/>
          <w:szCs w:val="24"/>
        </w:rPr>
        <w:t>CC CFO’s duty to report on the robustness of estimates and the adequacy of reserves when the P</w:t>
      </w:r>
      <w:r w:rsidR="001F1224">
        <w:rPr>
          <w:rFonts w:ascii="Arial" w:hAnsi="Arial" w:cs="Arial"/>
          <w:sz w:val="24"/>
          <w:szCs w:val="24"/>
        </w:rPr>
        <w:t>F</w:t>
      </w:r>
      <w:r w:rsidRPr="00E559D3">
        <w:rPr>
          <w:rFonts w:ascii="Arial" w:hAnsi="Arial" w:cs="Arial"/>
          <w:sz w:val="24"/>
          <w:szCs w:val="24"/>
        </w:rPr>
        <w:t xml:space="preserve">CC is considering </w:t>
      </w:r>
      <w:r w:rsidR="00AA7A76">
        <w:rPr>
          <w:rFonts w:ascii="Arial" w:hAnsi="Arial" w:cs="Arial"/>
          <w:sz w:val="24"/>
          <w:szCs w:val="24"/>
        </w:rPr>
        <w:t>their</w:t>
      </w:r>
      <w:r w:rsidRPr="00E559D3">
        <w:rPr>
          <w:rFonts w:ascii="Arial" w:hAnsi="Arial" w:cs="Arial"/>
          <w:sz w:val="24"/>
          <w:szCs w:val="24"/>
        </w:rPr>
        <w:t xml:space="preserve"> budget requirement.</w:t>
      </w:r>
    </w:p>
    <w:p w14:paraId="34220961" w14:textId="64BB29DC" w:rsidR="00E559D3" w:rsidRPr="00E559D3" w:rsidRDefault="00E559D3" w:rsidP="00A74361">
      <w:pPr>
        <w:pStyle w:val="ListParagraph"/>
        <w:numPr>
          <w:ilvl w:val="2"/>
          <w:numId w:val="28"/>
        </w:numPr>
        <w:rPr>
          <w:rFonts w:ascii="Arial" w:hAnsi="Arial" w:cs="Arial"/>
          <w:sz w:val="24"/>
          <w:szCs w:val="24"/>
        </w:rPr>
      </w:pPr>
      <w:r w:rsidRPr="00E559D3">
        <w:rPr>
          <w:rFonts w:ascii="Arial" w:hAnsi="Arial" w:cs="Arial"/>
          <w:sz w:val="24"/>
          <w:szCs w:val="24"/>
        </w:rPr>
        <w:t>This is reinforced by Section 114 of the Local Government Act 1988 which requires the P</w:t>
      </w:r>
      <w:r w:rsidR="001F1224">
        <w:rPr>
          <w:rFonts w:ascii="Arial" w:hAnsi="Arial" w:cs="Arial"/>
          <w:sz w:val="24"/>
          <w:szCs w:val="24"/>
        </w:rPr>
        <w:t>F</w:t>
      </w:r>
      <w:r w:rsidRPr="00E559D3">
        <w:rPr>
          <w:rFonts w:ascii="Arial" w:hAnsi="Arial" w:cs="Arial"/>
          <w:sz w:val="24"/>
          <w:szCs w:val="24"/>
        </w:rPr>
        <w:t>CC CFO to report to the P</w:t>
      </w:r>
      <w:r w:rsidR="001F1224">
        <w:rPr>
          <w:rFonts w:ascii="Arial" w:hAnsi="Arial" w:cs="Arial"/>
          <w:sz w:val="24"/>
          <w:szCs w:val="24"/>
        </w:rPr>
        <w:t>F</w:t>
      </w:r>
      <w:r w:rsidRPr="00E559D3">
        <w:rPr>
          <w:rFonts w:ascii="Arial" w:hAnsi="Arial" w:cs="Arial"/>
          <w:sz w:val="24"/>
          <w:szCs w:val="24"/>
        </w:rPr>
        <w:t>CC, Police</w:t>
      </w:r>
      <w:r w:rsidR="001F1224">
        <w:rPr>
          <w:rFonts w:ascii="Arial" w:hAnsi="Arial" w:cs="Arial"/>
          <w:sz w:val="24"/>
          <w:szCs w:val="24"/>
        </w:rPr>
        <w:t xml:space="preserve">, Fire </w:t>
      </w:r>
      <w:r w:rsidRPr="00E559D3">
        <w:rPr>
          <w:rFonts w:ascii="Arial" w:hAnsi="Arial" w:cs="Arial"/>
          <w:sz w:val="24"/>
          <w:szCs w:val="24"/>
        </w:rPr>
        <w:t xml:space="preserve">and Crime Panel and the External </w:t>
      </w:r>
      <w:r w:rsidRPr="00E559D3">
        <w:rPr>
          <w:rFonts w:ascii="Arial" w:hAnsi="Arial" w:cs="Arial"/>
          <w:sz w:val="24"/>
          <w:szCs w:val="24"/>
        </w:rPr>
        <w:lastRenderedPageBreak/>
        <w:t>Auditor if there is or likely to be unlawful expenditure or an unbalanced budget. This would include situations where the P</w:t>
      </w:r>
      <w:r w:rsidR="001F1224">
        <w:rPr>
          <w:rFonts w:ascii="Arial" w:hAnsi="Arial" w:cs="Arial"/>
          <w:sz w:val="24"/>
          <w:szCs w:val="24"/>
        </w:rPr>
        <w:t>F</w:t>
      </w:r>
      <w:r w:rsidRPr="00E559D3">
        <w:rPr>
          <w:rFonts w:ascii="Arial" w:hAnsi="Arial" w:cs="Arial"/>
          <w:sz w:val="24"/>
          <w:szCs w:val="24"/>
        </w:rPr>
        <w:t>CC does not have sufficient resources to meet expenditure in a particular year.</w:t>
      </w:r>
    </w:p>
    <w:p w14:paraId="119F03F0" w14:textId="57CF2163" w:rsidR="00E559D3" w:rsidRDefault="00E559D3" w:rsidP="00A74361">
      <w:pPr>
        <w:pStyle w:val="ListParagraph"/>
        <w:numPr>
          <w:ilvl w:val="2"/>
          <w:numId w:val="28"/>
        </w:numPr>
        <w:rPr>
          <w:rFonts w:ascii="Arial" w:hAnsi="Arial" w:cs="Arial"/>
          <w:sz w:val="24"/>
          <w:szCs w:val="24"/>
        </w:rPr>
      </w:pPr>
      <w:r w:rsidRPr="00E559D3">
        <w:rPr>
          <w:rFonts w:ascii="Arial" w:hAnsi="Arial" w:cs="Arial"/>
          <w:sz w:val="24"/>
          <w:szCs w:val="24"/>
        </w:rPr>
        <w:t>The Local Government Finance Act 1992 also requires PCCs</w:t>
      </w:r>
      <w:r w:rsidR="001F1224">
        <w:rPr>
          <w:rFonts w:ascii="Arial" w:hAnsi="Arial" w:cs="Arial"/>
          <w:sz w:val="24"/>
          <w:szCs w:val="24"/>
        </w:rPr>
        <w:t>/PFCCs</w:t>
      </w:r>
      <w:r w:rsidRPr="00E559D3">
        <w:rPr>
          <w:rFonts w:ascii="Arial" w:hAnsi="Arial" w:cs="Arial"/>
          <w:sz w:val="24"/>
          <w:szCs w:val="24"/>
        </w:rPr>
        <w:t xml:space="preserve"> as a ‘precepting’ authority to have regard to the level of reserves needed for meeting estimated future expenditure when calculating the budget requirement. </w:t>
      </w:r>
    </w:p>
    <w:p w14:paraId="7A48D0C5" w14:textId="77777777" w:rsidR="00E559D3" w:rsidRPr="00E559D3" w:rsidRDefault="00E559D3" w:rsidP="00E559D3">
      <w:pPr>
        <w:pStyle w:val="ListParagraph"/>
        <w:ind w:left="1224"/>
        <w:jc w:val="both"/>
        <w:rPr>
          <w:rFonts w:ascii="Arial" w:hAnsi="Arial" w:cs="Arial"/>
          <w:sz w:val="24"/>
          <w:szCs w:val="24"/>
        </w:rPr>
      </w:pPr>
    </w:p>
    <w:p w14:paraId="54713CB0" w14:textId="04DECA9B" w:rsidR="00E559D3" w:rsidRPr="00E559D3" w:rsidRDefault="00E559D3" w:rsidP="00A74361">
      <w:pPr>
        <w:pStyle w:val="ListParagraph"/>
        <w:numPr>
          <w:ilvl w:val="1"/>
          <w:numId w:val="6"/>
        </w:numPr>
        <w:ind w:left="709" w:hanging="709"/>
        <w:rPr>
          <w:rFonts w:ascii="Arial" w:hAnsi="Arial" w:cs="Arial"/>
          <w:sz w:val="24"/>
          <w:szCs w:val="24"/>
        </w:rPr>
      </w:pPr>
      <w:r w:rsidRPr="00E559D3">
        <w:rPr>
          <w:rFonts w:ascii="Arial" w:hAnsi="Arial" w:cs="Arial"/>
          <w:sz w:val="24"/>
          <w:szCs w:val="24"/>
        </w:rPr>
        <w:t>Local circumstances in terms of resourcing, expenditure and demand vary significantly across the country and so the level of reserves held is a judgement by the PFCC with advice from the P</w:t>
      </w:r>
      <w:r w:rsidR="001F1224">
        <w:rPr>
          <w:rFonts w:ascii="Arial" w:hAnsi="Arial" w:cs="Arial"/>
          <w:sz w:val="24"/>
          <w:szCs w:val="24"/>
        </w:rPr>
        <w:t>F</w:t>
      </w:r>
      <w:r w:rsidRPr="00E559D3">
        <w:rPr>
          <w:rFonts w:ascii="Arial" w:hAnsi="Arial" w:cs="Arial"/>
          <w:sz w:val="24"/>
          <w:szCs w:val="24"/>
        </w:rPr>
        <w:t xml:space="preserve">CC CFO </w:t>
      </w:r>
      <w:r w:rsidR="001F1224" w:rsidRPr="00E559D3">
        <w:rPr>
          <w:rFonts w:ascii="Arial" w:hAnsi="Arial" w:cs="Arial"/>
          <w:sz w:val="24"/>
          <w:szCs w:val="24"/>
        </w:rPr>
        <w:t>considering</w:t>
      </w:r>
      <w:r w:rsidRPr="00E559D3">
        <w:rPr>
          <w:rFonts w:ascii="Arial" w:hAnsi="Arial" w:cs="Arial"/>
          <w:sz w:val="24"/>
          <w:szCs w:val="24"/>
        </w:rPr>
        <w:t xml:space="preserve"> all local and national circumstances. However, the Government have specified that any level of general reserves over 5% requires explanation within the Reserves Strategy.  </w:t>
      </w:r>
    </w:p>
    <w:p w14:paraId="40262BD1" w14:textId="77777777" w:rsidR="005E003D" w:rsidRPr="005E003D" w:rsidRDefault="005E003D" w:rsidP="005E003D">
      <w:pPr>
        <w:pStyle w:val="ListParagraph"/>
        <w:rPr>
          <w:rFonts w:ascii="Arial" w:hAnsi="Arial" w:cs="Arial"/>
          <w:sz w:val="24"/>
          <w:szCs w:val="24"/>
        </w:rPr>
      </w:pPr>
    </w:p>
    <w:p w14:paraId="3DBF2E53" w14:textId="28F321CC" w:rsidR="005E003D" w:rsidRPr="00BE10CC" w:rsidRDefault="005E003D" w:rsidP="00A74361">
      <w:pPr>
        <w:pStyle w:val="ListParagraph"/>
        <w:numPr>
          <w:ilvl w:val="1"/>
          <w:numId w:val="6"/>
        </w:numPr>
        <w:ind w:left="709" w:hanging="709"/>
        <w:rPr>
          <w:rFonts w:ascii="Arial" w:hAnsi="Arial" w:cs="Arial"/>
          <w:sz w:val="24"/>
          <w:szCs w:val="24"/>
        </w:rPr>
      </w:pPr>
      <w:r w:rsidRPr="00BE10CC">
        <w:rPr>
          <w:rFonts w:ascii="Arial" w:hAnsi="Arial" w:cs="Arial"/>
          <w:sz w:val="24"/>
          <w:szCs w:val="24"/>
        </w:rPr>
        <w:t xml:space="preserve">CIPFA guidance does not specify a level of General Reserve which must be held only that a reserve should be maintained. The PFCC should consider strategic, </w:t>
      </w:r>
      <w:proofErr w:type="gramStart"/>
      <w:r w:rsidRPr="00BE10CC">
        <w:rPr>
          <w:rFonts w:ascii="Arial" w:hAnsi="Arial" w:cs="Arial"/>
          <w:sz w:val="24"/>
          <w:szCs w:val="24"/>
        </w:rPr>
        <w:t>operational</w:t>
      </w:r>
      <w:proofErr w:type="gramEnd"/>
      <w:r w:rsidRPr="00BE10CC">
        <w:rPr>
          <w:rFonts w:ascii="Arial" w:hAnsi="Arial" w:cs="Arial"/>
          <w:sz w:val="24"/>
          <w:szCs w:val="24"/>
        </w:rPr>
        <w:t xml:space="preserve"> and financial risks facing the force when setting the budget taking advice from </w:t>
      </w:r>
      <w:r w:rsidR="00AA7A76">
        <w:rPr>
          <w:rFonts w:ascii="Arial" w:hAnsi="Arial" w:cs="Arial"/>
          <w:sz w:val="24"/>
          <w:szCs w:val="24"/>
        </w:rPr>
        <w:t>their</w:t>
      </w:r>
      <w:r w:rsidRPr="00BE10CC">
        <w:rPr>
          <w:rFonts w:ascii="Arial" w:hAnsi="Arial" w:cs="Arial"/>
          <w:sz w:val="24"/>
          <w:szCs w:val="24"/>
        </w:rPr>
        <w:t xml:space="preserve"> Chief Financial Officer. Under the Local Government Act 2003 it is the duty of the Chief Financ</w:t>
      </w:r>
      <w:r>
        <w:rPr>
          <w:rFonts w:ascii="Arial" w:hAnsi="Arial" w:cs="Arial"/>
          <w:sz w:val="24"/>
          <w:szCs w:val="24"/>
        </w:rPr>
        <w:t>ial</w:t>
      </w:r>
      <w:r w:rsidRPr="00BE10CC">
        <w:rPr>
          <w:rFonts w:ascii="Arial" w:hAnsi="Arial" w:cs="Arial"/>
          <w:sz w:val="24"/>
          <w:szCs w:val="24"/>
        </w:rPr>
        <w:t xml:space="preserve"> Officer to report on the robustness of estimates and the adequacy of reserves when the PFCC is considering their council tax requirement.</w:t>
      </w:r>
    </w:p>
    <w:p w14:paraId="6A60F2BA" w14:textId="77777777" w:rsidR="005E003D" w:rsidRDefault="005E003D" w:rsidP="005E003D">
      <w:pPr>
        <w:pStyle w:val="ListParagraph"/>
        <w:ind w:left="792"/>
        <w:jc w:val="both"/>
      </w:pPr>
    </w:p>
    <w:p w14:paraId="244CBBD7" w14:textId="1A0DF9B9" w:rsidR="005E003D" w:rsidRPr="00BE10CC" w:rsidRDefault="005E003D" w:rsidP="00A74361">
      <w:pPr>
        <w:pStyle w:val="ListParagraph"/>
        <w:numPr>
          <w:ilvl w:val="1"/>
          <w:numId w:val="6"/>
        </w:numPr>
        <w:ind w:left="709" w:hanging="709"/>
        <w:rPr>
          <w:rFonts w:ascii="Arial" w:hAnsi="Arial" w:cs="Arial"/>
          <w:sz w:val="24"/>
          <w:szCs w:val="24"/>
        </w:rPr>
      </w:pPr>
      <w:r w:rsidRPr="00BE10CC">
        <w:rPr>
          <w:rFonts w:ascii="Arial" w:hAnsi="Arial" w:cs="Arial"/>
          <w:sz w:val="24"/>
          <w:szCs w:val="24"/>
        </w:rPr>
        <w:t>CIPFA guidance, Local Authority Reserves and Balances, (LAAP Bulletin 99) note that reserves can be held for three main purposes:</w:t>
      </w:r>
      <w:r w:rsidR="00A74361">
        <w:rPr>
          <w:rFonts w:ascii="Arial" w:hAnsi="Arial" w:cs="Arial"/>
          <w:sz w:val="24"/>
          <w:szCs w:val="24"/>
        </w:rPr>
        <w:br/>
      </w:r>
    </w:p>
    <w:p w14:paraId="2ECEDAA8" w14:textId="77777777" w:rsidR="005E003D" w:rsidRPr="00BE10CC" w:rsidRDefault="005E003D" w:rsidP="00A74361">
      <w:pPr>
        <w:pStyle w:val="ListParagraph"/>
        <w:numPr>
          <w:ilvl w:val="2"/>
          <w:numId w:val="28"/>
        </w:numPr>
        <w:rPr>
          <w:rFonts w:ascii="Arial" w:hAnsi="Arial" w:cs="Arial"/>
          <w:sz w:val="24"/>
          <w:szCs w:val="24"/>
        </w:rPr>
      </w:pPr>
      <w:r w:rsidRPr="00BE10CC">
        <w:rPr>
          <w:rFonts w:ascii="Arial" w:hAnsi="Arial" w:cs="Arial"/>
          <w:sz w:val="24"/>
          <w:szCs w:val="24"/>
        </w:rPr>
        <w:t xml:space="preserve">A working balance to help cushion the impact of uneven cash flows and avoid unnecessary </w:t>
      </w:r>
      <w:proofErr w:type="gramStart"/>
      <w:r w:rsidRPr="00BE10CC">
        <w:rPr>
          <w:rFonts w:ascii="Arial" w:hAnsi="Arial" w:cs="Arial"/>
          <w:sz w:val="24"/>
          <w:szCs w:val="24"/>
        </w:rPr>
        <w:t>borrowing</w:t>
      </w:r>
      <w:proofErr w:type="gramEnd"/>
    </w:p>
    <w:p w14:paraId="50A737AC" w14:textId="02D18B7A" w:rsidR="005E003D" w:rsidRPr="00BE10CC" w:rsidRDefault="005E003D" w:rsidP="00A74361">
      <w:pPr>
        <w:pStyle w:val="ListParagraph"/>
        <w:numPr>
          <w:ilvl w:val="2"/>
          <w:numId w:val="28"/>
        </w:numPr>
        <w:rPr>
          <w:rFonts w:ascii="Arial" w:hAnsi="Arial" w:cs="Arial"/>
          <w:sz w:val="24"/>
          <w:szCs w:val="24"/>
        </w:rPr>
      </w:pPr>
      <w:r w:rsidRPr="00BE10CC">
        <w:rPr>
          <w:rFonts w:ascii="Arial" w:hAnsi="Arial" w:cs="Arial"/>
          <w:sz w:val="24"/>
          <w:szCs w:val="24"/>
        </w:rPr>
        <w:t>A contingency to cushion the impact of unexpected event</w:t>
      </w:r>
      <w:r w:rsidR="007817C9">
        <w:rPr>
          <w:rFonts w:ascii="Arial" w:hAnsi="Arial" w:cs="Arial"/>
          <w:sz w:val="24"/>
          <w:szCs w:val="24"/>
        </w:rPr>
        <w:t>s</w:t>
      </w:r>
      <w:r w:rsidRPr="00BE10CC">
        <w:rPr>
          <w:rFonts w:ascii="Arial" w:hAnsi="Arial" w:cs="Arial"/>
          <w:sz w:val="24"/>
          <w:szCs w:val="24"/>
        </w:rPr>
        <w:t xml:space="preserve"> or </w:t>
      </w:r>
      <w:proofErr w:type="gramStart"/>
      <w:r w:rsidRPr="00BE10CC">
        <w:rPr>
          <w:rFonts w:ascii="Arial" w:hAnsi="Arial" w:cs="Arial"/>
          <w:sz w:val="24"/>
          <w:szCs w:val="24"/>
        </w:rPr>
        <w:t>emergencies</w:t>
      </w:r>
      <w:proofErr w:type="gramEnd"/>
      <w:r w:rsidRPr="00BE10CC">
        <w:rPr>
          <w:rFonts w:ascii="Arial" w:hAnsi="Arial" w:cs="Arial"/>
          <w:sz w:val="24"/>
          <w:szCs w:val="24"/>
        </w:rPr>
        <w:t xml:space="preserve"> </w:t>
      </w:r>
    </w:p>
    <w:p w14:paraId="3A0F96C1" w14:textId="45E25EC9" w:rsidR="005E003D" w:rsidRPr="00BE10CC" w:rsidRDefault="005E003D" w:rsidP="00A74361">
      <w:pPr>
        <w:pStyle w:val="ListParagraph"/>
        <w:numPr>
          <w:ilvl w:val="2"/>
          <w:numId w:val="28"/>
        </w:numPr>
        <w:rPr>
          <w:rFonts w:ascii="Arial" w:hAnsi="Arial" w:cs="Arial"/>
          <w:sz w:val="24"/>
          <w:szCs w:val="24"/>
        </w:rPr>
      </w:pPr>
      <w:r w:rsidRPr="00BE10CC">
        <w:rPr>
          <w:rFonts w:ascii="Arial" w:hAnsi="Arial" w:cs="Arial"/>
          <w:sz w:val="24"/>
          <w:szCs w:val="24"/>
        </w:rPr>
        <w:t>A means of building up fund</w:t>
      </w:r>
      <w:r w:rsidR="001F1224">
        <w:rPr>
          <w:rFonts w:ascii="Arial" w:hAnsi="Arial" w:cs="Arial"/>
          <w:sz w:val="24"/>
          <w:szCs w:val="24"/>
        </w:rPr>
        <w:t>s</w:t>
      </w:r>
      <w:r w:rsidRPr="00BE10CC">
        <w:rPr>
          <w:rFonts w:ascii="Arial" w:hAnsi="Arial" w:cs="Arial"/>
          <w:sz w:val="24"/>
          <w:szCs w:val="24"/>
        </w:rPr>
        <w:t>, known as earmarked reserves</w:t>
      </w:r>
    </w:p>
    <w:p w14:paraId="031738B8" w14:textId="77777777" w:rsidR="005E003D" w:rsidRPr="00BE10CC" w:rsidRDefault="005E003D" w:rsidP="005E003D">
      <w:pPr>
        <w:jc w:val="both"/>
        <w:rPr>
          <w:rFonts w:ascii="Arial" w:hAnsi="Arial" w:cs="Arial"/>
          <w:b/>
          <w:sz w:val="24"/>
          <w:szCs w:val="24"/>
        </w:rPr>
      </w:pPr>
    </w:p>
    <w:p w14:paraId="02E34DCE" w14:textId="4D40787F" w:rsidR="001B43EB" w:rsidRPr="00BE10CC" w:rsidRDefault="0010212F" w:rsidP="00A74361">
      <w:pPr>
        <w:pStyle w:val="ListParagraph"/>
        <w:numPr>
          <w:ilvl w:val="1"/>
          <w:numId w:val="6"/>
        </w:numPr>
        <w:ind w:left="709" w:hanging="709"/>
        <w:rPr>
          <w:rFonts w:ascii="Arial" w:hAnsi="Arial" w:cs="Arial"/>
          <w:sz w:val="24"/>
          <w:szCs w:val="24"/>
        </w:rPr>
      </w:pPr>
      <w:r w:rsidRPr="00BE10CC">
        <w:rPr>
          <w:rFonts w:ascii="Arial" w:hAnsi="Arial" w:cs="Arial"/>
          <w:sz w:val="24"/>
          <w:szCs w:val="24"/>
        </w:rPr>
        <w:t xml:space="preserve">The </w:t>
      </w:r>
      <w:r w:rsidR="005E003D">
        <w:rPr>
          <w:rFonts w:ascii="Arial" w:hAnsi="Arial" w:cs="Arial"/>
          <w:sz w:val="24"/>
          <w:szCs w:val="24"/>
        </w:rPr>
        <w:t xml:space="preserve">Essex </w:t>
      </w:r>
      <w:r w:rsidRPr="00BE10CC">
        <w:rPr>
          <w:rFonts w:ascii="Arial" w:hAnsi="Arial" w:cs="Arial"/>
          <w:sz w:val="24"/>
          <w:szCs w:val="24"/>
        </w:rPr>
        <w:t xml:space="preserve">PFCC reserves have always been included within the </w:t>
      </w:r>
      <w:r w:rsidR="00837DDF" w:rsidRPr="00BE10CC">
        <w:rPr>
          <w:rFonts w:ascii="Arial" w:hAnsi="Arial" w:cs="Arial"/>
          <w:sz w:val="24"/>
          <w:szCs w:val="24"/>
        </w:rPr>
        <w:t xml:space="preserve">MTFS </w:t>
      </w:r>
      <w:r w:rsidRPr="00BE10CC">
        <w:rPr>
          <w:rFonts w:ascii="Arial" w:hAnsi="Arial" w:cs="Arial"/>
          <w:sz w:val="24"/>
          <w:szCs w:val="24"/>
        </w:rPr>
        <w:t>and the budget setting papers</w:t>
      </w:r>
      <w:r w:rsidR="005E003D">
        <w:rPr>
          <w:rFonts w:ascii="Arial" w:hAnsi="Arial" w:cs="Arial"/>
          <w:sz w:val="24"/>
          <w:szCs w:val="24"/>
        </w:rPr>
        <w:t>,</w:t>
      </w:r>
      <w:r w:rsidRPr="00BE10CC">
        <w:rPr>
          <w:rFonts w:ascii="Arial" w:hAnsi="Arial" w:cs="Arial"/>
          <w:sz w:val="24"/>
          <w:szCs w:val="24"/>
        </w:rPr>
        <w:t xml:space="preserve"> which are presented to the </w:t>
      </w:r>
      <w:r w:rsidR="005E003D">
        <w:rPr>
          <w:rFonts w:ascii="Arial" w:hAnsi="Arial" w:cs="Arial"/>
          <w:sz w:val="24"/>
          <w:szCs w:val="24"/>
        </w:rPr>
        <w:t xml:space="preserve">Essex </w:t>
      </w:r>
      <w:r w:rsidRPr="00BE10CC">
        <w:rPr>
          <w:rFonts w:ascii="Arial" w:hAnsi="Arial" w:cs="Arial"/>
          <w:sz w:val="24"/>
          <w:szCs w:val="24"/>
        </w:rPr>
        <w:t xml:space="preserve">Police, Fire and Crime Panel. In year the level of reserves </w:t>
      </w:r>
      <w:r w:rsidR="00CF2247" w:rsidRPr="00BE10CC">
        <w:rPr>
          <w:rFonts w:ascii="Arial" w:hAnsi="Arial" w:cs="Arial"/>
          <w:sz w:val="24"/>
          <w:szCs w:val="24"/>
        </w:rPr>
        <w:t>is</w:t>
      </w:r>
      <w:r w:rsidRPr="00BE10CC">
        <w:rPr>
          <w:rFonts w:ascii="Arial" w:hAnsi="Arial" w:cs="Arial"/>
          <w:sz w:val="24"/>
          <w:szCs w:val="24"/>
        </w:rPr>
        <w:t xml:space="preserve"> reported </w:t>
      </w:r>
      <w:r w:rsidR="00A04D4D">
        <w:rPr>
          <w:rFonts w:ascii="Arial" w:hAnsi="Arial" w:cs="Arial"/>
          <w:sz w:val="24"/>
          <w:szCs w:val="24"/>
        </w:rPr>
        <w:t>monthly</w:t>
      </w:r>
      <w:r w:rsidRPr="00BE10CC">
        <w:rPr>
          <w:rFonts w:ascii="Arial" w:hAnsi="Arial" w:cs="Arial"/>
          <w:sz w:val="24"/>
          <w:szCs w:val="24"/>
        </w:rPr>
        <w:t xml:space="preserve"> to the PFCC’s Performance and Resources Board.</w:t>
      </w:r>
    </w:p>
    <w:p w14:paraId="01233CF8" w14:textId="77777777" w:rsidR="007F7B53" w:rsidRDefault="007F7B53" w:rsidP="005F7B69">
      <w:pPr>
        <w:jc w:val="both"/>
        <w:rPr>
          <w:rFonts w:ascii="Arial" w:hAnsi="Arial" w:cs="Arial"/>
          <w:sz w:val="24"/>
          <w:szCs w:val="24"/>
        </w:rPr>
      </w:pPr>
    </w:p>
    <w:p w14:paraId="1EC021AE" w14:textId="77777777" w:rsidR="005F7B69" w:rsidRDefault="005F7B69" w:rsidP="005F7B69">
      <w:pPr>
        <w:jc w:val="both"/>
        <w:rPr>
          <w:rFonts w:ascii="Arial" w:hAnsi="Arial" w:cs="Arial"/>
          <w:sz w:val="24"/>
          <w:szCs w:val="24"/>
        </w:rPr>
      </w:pPr>
    </w:p>
    <w:p w14:paraId="55598E4C" w14:textId="77777777" w:rsidR="005F7B69" w:rsidRDefault="005F7B69" w:rsidP="005F7B69">
      <w:pPr>
        <w:jc w:val="both"/>
        <w:rPr>
          <w:rFonts w:ascii="Arial" w:hAnsi="Arial" w:cs="Arial"/>
          <w:sz w:val="24"/>
          <w:szCs w:val="24"/>
        </w:rPr>
      </w:pPr>
    </w:p>
    <w:p w14:paraId="233CC51E" w14:textId="77777777" w:rsidR="005F7B69" w:rsidRDefault="005F7B69" w:rsidP="005F7B69">
      <w:pPr>
        <w:jc w:val="both"/>
        <w:rPr>
          <w:rFonts w:ascii="Arial" w:hAnsi="Arial" w:cs="Arial"/>
          <w:sz w:val="24"/>
          <w:szCs w:val="24"/>
        </w:rPr>
      </w:pPr>
    </w:p>
    <w:p w14:paraId="04CADF10" w14:textId="77777777" w:rsidR="005F7B69" w:rsidRDefault="005F7B69" w:rsidP="005F7B69">
      <w:pPr>
        <w:jc w:val="both"/>
        <w:rPr>
          <w:rFonts w:ascii="Arial" w:hAnsi="Arial" w:cs="Arial"/>
          <w:sz w:val="24"/>
          <w:szCs w:val="24"/>
        </w:rPr>
      </w:pPr>
    </w:p>
    <w:p w14:paraId="186F91F9" w14:textId="77777777" w:rsidR="005F7B69" w:rsidRDefault="005F7B69" w:rsidP="005F7B69">
      <w:pPr>
        <w:jc w:val="both"/>
        <w:rPr>
          <w:rFonts w:ascii="Arial" w:hAnsi="Arial" w:cs="Arial"/>
          <w:sz w:val="24"/>
          <w:szCs w:val="24"/>
        </w:rPr>
      </w:pPr>
    </w:p>
    <w:p w14:paraId="248D9CD8" w14:textId="77777777" w:rsidR="005F7B69" w:rsidRDefault="005F7B69" w:rsidP="005F7B69">
      <w:pPr>
        <w:jc w:val="both"/>
        <w:rPr>
          <w:rFonts w:ascii="Arial" w:hAnsi="Arial" w:cs="Arial"/>
          <w:sz w:val="24"/>
          <w:szCs w:val="24"/>
        </w:rPr>
      </w:pPr>
    </w:p>
    <w:p w14:paraId="51CA580C" w14:textId="77777777" w:rsidR="005F7B69" w:rsidRDefault="005F7B69" w:rsidP="005F7B69">
      <w:pPr>
        <w:jc w:val="both"/>
        <w:rPr>
          <w:rFonts w:ascii="Arial" w:hAnsi="Arial" w:cs="Arial"/>
          <w:sz w:val="24"/>
          <w:szCs w:val="24"/>
        </w:rPr>
      </w:pPr>
    </w:p>
    <w:p w14:paraId="5EBF5DC0" w14:textId="77777777" w:rsidR="005F7B69" w:rsidRDefault="005F7B69" w:rsidP="005F7B69">
      <w:pPr>
        <w:jc w:val="both"/>
        <w:rPr>
          <w:rFonts w:ascii="Arial" w:hAnsi="Arial" w:cs="Arial"/>
          <w:sz w:val="24"/>
          <w:szCs w:val="24"/>
        </w:rPr>
      </w:pPr>
    </w:p>
    <w:p w14:paraId="375D682A" w14:textId="77777777" w:rsidR="005F7B69" w:rsidRDefault="005F7B69" w:rsidP="005F7B69">
      <w:pPr>
        <w:jc w:val="both"/>
        <w:rPr>
          <w:rFonts w:ascii="Arial" w:hAnsi="Arial" w:cs="Arial"/>
          <w:sz w:val="24"/>
          <w:szCs w:val="24"/>
        </w:rPr>
      </w:pPr>
    </w:p>
    <w:p w14:paraId="4D1ABB57" w14:textId="77777777" w:rsidR="005F7B69" w:rsidRPr="005F7B69" w:rsidRDefault="005F7B69" w:rsidP="005F7B69">
      <w:pPr>
        <w:jc w:val="both"/>
        <w:rPr>
          <w:rFonts w:ascii="Arial" w:hAnsi="Arial" w:cs="Arial"/>
          <w:sz w:val="24"/>
          <w:szCs w:val="24"/>
        </w:rPr>
      </w:pPr>
    </w:p>
    <w:p w14:paraId="2D5E7C2E" w14:textId="59D2E4EC" w:rsidR="00BF4AF0" w:rsidRDefault="00BF4AF0" w:rsidP="00A74361">
      <w:pPr>
        <w:pStyle w:val="ListParagraph"/>
        <w:numPr>
          <w:ilvl w:val="0"/>
          <w:numId w:val="6"/>
        </w:numPr>
        <w:ind w:left="709" w:hanging="709"/>
        <w:jc w:val="both"/>
        <w:rPr>
          <w:rFonts w:ascii="Arial" w:hAnsi="Arial" w:cs="Arial"/>
          <w:b/>
          <w:sz w:val="24"/>
          <w:szCs w:val="24"/>
        </w:rPr>
      </w:pPr>
      <w:r w:rsidRPr="00BE10CC">
        <w:rPr>
          <w:rFonts w:ascii="Arial" w:hAnsi="Arial" w:cs="Arial"/>
          <w:b/>
          <w:sz w:val="24"/>
          <w:szCs w:val="24"/>
        </w:rPr>
        <w:lastRenderedPageBreak/>
        <w:t>Financial Regulations</w:t>
      </w:r>
    </w:p>
    <w:p w14:paraId="018A0BDD" w14:textId="77777777" w:rsidR="001B43EB" w:rsidRPr="00BE10CC" w:rsidRDefault="001B43EB" w:rsidP="00BE10CC">
      <w:pPr>
        <w:pStyle w:val="ListParagraph"/>
        <w:ind w:left="360"/>
        <w:jc w:val="both"/>
        <w:rPr>
          <w:rFonts w:ascii="Arial" w:hAnsi="Arial" w:cs="Arial"/>
          <w:b/>
          <w:sz w:val="24"/>
          <w:szCs w:val="24"/>
        </w:rPr>
      </w:pPr>
    </w:p>
    <w:p w14:paraId="0BAD7D6D" w14:textId="0289532A" w:rsidR="00E62ED0" w:rsidRPr="00E62ED0" w:rsidRDefault="00BA684B" w:rsidP="00A74361">
      <w:pPr>
        <w:pStyle w:val="ListParagraph"/>
        <w:numPr>
          <w:ilvl w:val="1"/>
          <w:numId w:val="6"/>
        </w:numPr>
        <w:ind w:left="709" w:hanging="709"/>
        <w:rPr>
          <w:rFonts w:ascii="Arial" w:hAnsi="Arial" w:cs="Arial"/>
          <w:sz w:val="24"/>
          <w:szCs w:val="24"/>
        </w:rPr>
      </w:pPr>
      <w:r w:rsidRPr="00E62ED0">
        <w:rPr>
          <w:rFonts w:ascii="Arial" w:hAnsi="Arial" w:cs="Arial"/>
          <w:sz w:val="24"/>
          <w:szCs w:val="24"/>
        </w:rPr>
        <w:t xml:space="preserve">The </w:t>
      </w:r>
      <w:r w:rsidR="005E003D">
        <w:rPr>
          <w:rFonts w:ascii="Arial" w:hAnsi="Arial" w:cs="Arial"/>
          <w:sz w:val="24"/>
          <w:szCs w:val="24"/>
        </w:rPr>
        <w:t xml:space="preserve">Essex </w:t>
      </w:r>
      <w:r w:rsidRPr="00E62ED0">
        <w:rPr>
          <w:rFonts w:ascii="Arial" w:hAnsi="Arial" w:cs="Arial"/>
          <w:sz w:val="24"/>
          <w:szCs w:val="24"/>
        </w:rPr>
        <w:t xml:space="preserve">PFCC Financial Regulations set out the responsibilities </w:t>
      </w:r>
      <w:r w:rsidR="005E003D">
        <w:rPr>
          <w:rFonts w:ascii="Arial" w:hAnsi="Arial" w:cs="Arial"/>
          <w:sz w:val="24"/>
          <w:szCs w:val="24"/>
        </w:rPr>
        <w:t>of</w:t>
      </w:r>
      <w:r w:rsidRPr="00E62ED0">
        <w:rPr>
          <w:rFonts w:ascii="Arial" w:hAnsi="Arial" w:cs="Arial"/>
          <w:sz w:val="24"/>
          <w:szCs w:val="24"/>
        </w:rPr>
        <w:t xml:space="preserve"> the </w:t>
      </w:r>
      <w:r w:rsidR="005E003D" w:rsidRPr="00E62ED0">
        <w:rPr>
          <w:rFonts w:ascii="Arial" w:hAnsi="Arial" w:cs="Arial"/>
          <w:sz w:val="24"/>
          <w:szCs w:val="24"/>
        </w:rPr>
        <w:t xml:space="preserve">Chief Constable and </w:t>
      </w:r>
      <w:r w:rsidR="005E003D">
        <w:rPr>
          <w:rFonts w:ascii="Arial" w:hAnsi="Arial" w:cs="Arial"/>
          <w:sz w:val="24"/>
          <w:szCs w:val="24"/>
        </w:rPr>
        <w:t xml:space="preserve">their Chief Finance Officer and </w:t>
      </w:r>
      <w:r w:rsidR="005E003D" w:rsidRPr="00E62ED0">
        <w:rPr>
          <w:rFonts w:ascii="Arial" w:hAnsi="Arial" w:cs="Arial"/>
          <w:sz w:val="24"/>
          <w:szCs w:val="24"/>
        </w:rPr>
        <w:t xml:space="preserve">the PFCC </w:t>
      </w:r>
      <w:r w:rsidR="005E003D">
        <w:rPr>
          <w:rFonts w:ascii="Arial" w:hAnsi="Arial" w:cs="Arial"/>
          <w:sz w:val="24"/>
          <w:szCs w:val="24"/>
        </w:rPr>
        <w:t>and their</w:t>
      </w:r>
      <w:r w:rsidR="00A04D4D">
        <w:rPr>
          <w:rFonts w:ascii="Arial" w:hAnsi="Arial" w:cs="Arial"/>
          <w:sz w:val="24"/>
          <w:szCs w:val="24"/>
        </w:rPr>
        <w:t xml:space="preserve"> </w:t>
      </w:r>
      <w:r w:rsidRPr="00E62ED0">
        <w:rPr>
          <w:rFonts w:ascii="Arial" w:hAnsi="Arial" w:cs="Arial"/>
          <w:sz w:val="24"/>
          <w:szCs w:val="24"/>
        </w:rPr>
        <w:t>Chief Financ</w:t>
      </w:r>
      <w:r w:rsidR="00A04D4D">
        <w:rPr>
          <w:rFonts w:ascii="Arial" w:hAnsi="Arial" w:cs="Arial"/>
          <w:sz w:val="24"/>
          <w:szCs w:val="24"/>
        </w:rPr>
        <w:t>ial</w:t>
      </w:r>
      <w:r w:rsidRPr="00E62ED0">
        <w:rPr>
          <w:rFonts w:ascii="Arial" w:hAnsi="Arial" w:cs="Arial"/>
          <w:sz w:val="24"/>
          <w:szCs w:val="24"/>
        </w:rPr>
        <w:t xml:space="preserve"> Officer</w:t>
      </w:r>
      <w:r w:rsidR="00A04D4D">
        <w:rPr>
          <w:rFonts w:ascii="Arial" w:hAnsi="Arial" w:cs="Arial"/>
          <w:sz w:val="24"/>
          <w:szCs w:val="24"/>
        </w:rPr>
        <w:t xml:space="preserve">, </w:t>
      </w:r>
      <w:r w:rsidR="00CF2247" w:rsidRPr="00E62ED0">
        <w:rPr>
          <w:rFonts w:ascii="Arial" w:hAnsi="Arial" w:cs="Arial"/>
          <w:sz w:val="24"/>
          <w:szCs w:val="24"/>
        </w:rPr>
        <w:t>in r</w:t>
      </w:r>
      <w:r w:rsidR="005E003D">
        <w:rPr>
          <w:rFonts w:ascii="Arial" w:hAnsi="Arial" w:cs="Arial"/>
          <w:sz w:val="24"/>
          <w:szCs w:val="24"/>
        </w:rPr>
        <w:t>espect of</w:t>
      </w:r>
      <w:r w:rsidRPr="00E62ED0">
        <w:rPr>
          <w:rFonts w:ascii="Arial" w:hAnsi="Arial" w:cs="Arial"/>
          <w:sz w:val="24"/>
          <w:szCs w:val="24"/>
        </w:rPr>
        <w:t xml:space="preserve"> reserves and how they are used</w:t>
      </w:r>
      <w:r w:rsidR="00CD0687">
        <w:rPr>
          <w:rFonts w:ascii="Arial" w:hAnsi="Arial" w:cs="Arial"/>
          <w:sz w:val="24"/>
          <w:szCs w:val="24"/>
        </w:rPr>
        <w:t xml:space="preserve"> as detailed below in paragraph 2.2 to 2.5</w:t>
      </w:r>
      <w:r w:rsidRPr="00E62ED0">
        <w:rPr>
          <w:rFonts w:ascii="Arial" w:hAnsi="Arial" w:cs="Arial"/>
          <w:sz w:val="24"/>
          <w:szCs w:val="24"/>
        </w:rPr>
        <w:t xml:space="preserve">. </w:t>
      </w:r>
    </w:p>
    <w:p w14:paraId="19B17646" w14:textId="77777777" w:rsidR="00E62ED0" w:rsidRPr="00E62ED0" w:rsidRDefault="00E62ED0" w:rsidP="00A04D4D">
      <w:pPr>
        <w:pStyle w:val="ListParagraph"/>
        <w:ind w:left="792"/>
        <w:jc w:val="both"/>
        <w:rPr>
          <w:rFonts w:ascii="Arial" w:hAnsi="Arial" w:cs="Arial"/>
          <w:sz w:val="24"/>
          <w:szCs w:val="24"/>
        </w:rPr>
      </w:pPr>
    </w:p>
    <w:p w14:paraId="48130D55" w14:textId="77777777" w:rsidR="00E62ED0" w:rsidRDefault="00E62ED0" w:rsidP="00A74361">
      <w:pPr>
        <w:pStyle w:val="ListParagraph"/>
        <w:numPr>
          <w:ilvl w:val="1"/>
          <w:numId w:val="6"/>
        </w:numPr>
        <w:ind w:left="709" w:hanging="709"/>
        <w:rPr>
          <w:rFonts w:ascii="Arial" w:hAnsi="Arial" w:cs="Arial"/>
          <w:sz w:val="24"/>
          <w:szCs w:val="24"/>
        </w:rPr>
      </w:pPr>
      <w:r w:rsidRPr="00E62ED0">
        <w:rPr>
          <w:rFonts w:ascii="Arial" w:hAnsi="Arial" w:cs="Arial"/>
          <w:sz w:val="24"/>
          <w:szCs w:val="24"/>
        </w:rPr>
        <w:t>The PFCC must decide the level of general reserves they wish to retain before they can decide the level of council tax precept.  Reserves are maintained as a matter of prudence. They enable the organisation to provide for cash flow fluctuations and unexpected costly events and thereby help protect it from overspending the annual budget, should such events occur.  Reserves for specific purposes may also be maintained where it is likely that a spending requirement will occur in the future.</w:t>
      </w:r>
    </w:p>
    <w:p w14:paraId="5261D4D3" w14:textId="77777777" w:rsidR="00A203B7" w:rsidRPr="005F7B69" w:rsidRDefault="00A203B7" w:rsidP="005F7B69">
      <w:pPr>
        <w:pStyle w:val="ListParagraph"/>
        <w:rPr>
          <w:rFonts w:ascii="Arial" w:hAnsi="Arial" w:cs="Arial"/>
          <w:sz w:val="24"/>
          <w:szCs w:val="24"/>
        </w:rPr>
      </w:pPr>
    </w:p>
    <w:p w14:paraId="61BFAC07" w14:textId="2380247D" w:rsidR="00A203B7" w:rsidRPr="00E62ED0" w:rsidRDefault="00A203B7" w:rsidP="00A203B7">
      <w:pPr>
        <w:pStyle w:val="ListParagraph"/>
        <w:numPr>
          <w:ilvl w:val="1"/>
          <w:numId w:val="6"/>
        </w:numPr>
        <w:ind w:left="709" w:hanging="709"/>
        <w:rPr>
          <w:rFonts w:ascii="Arial" w:hAnsi="Arial" w:cs="Arial"/>
          <w:sz w:val="24"/>
          <w:szCs w:val="24"/>
        </w:rPr>
      </w:pPr>
      <w:r w:rsidRPr="005F7B69">
        <w:rPr>
          <w:rFonts w:ascii="Arial" w:hAnsi="Arial" w:cs="Arial"/>
          <w:sz w:val="24"/>
          <w:szCs w:val="24"/>
        </w:rPr>
        <w:t>Responsibilities of the Chief Constable’s Chief Finance Officer</w:t>
      </w:r>
      <w:r>
        <w:rPr>
          <w:rFonts w:ascii="Arial" w:hAnsi="Arial" w:cs="Arial"/>
          <w:sz w:val="24"/>
          <w:szCs w:val="24"/>
        </w:rPr>
        <w:br/>
      </w:r>
    </w:p>
    <w:p w14:paraId="11377724" w14:textId="41EF6608" w:rsidR="00A203B7" w:rsidRDefault="00A203B7" w:rsidP="00A203B7">
      <w:pPr>
        <w:pStyle w:val="ListParagraph"/>
        <w:numPr>
          <w:ilvl w:val="2"/>
          <w:numId w:val="28"/>
        </w:numPr>
        <w:rPr>
          <w:rFonts w:ascii="Arial" w:hAnsi="Arial" w:cs="Arial"/>
          <w:sz w:val="24"/>
          <w:szCs w:val="24"/>
        </w:rPr>
      </w:pPr>
      <w:r w:rsidRPr="00E62ED0">
        <w:rPr>
          <w:rFonts w:ascii="Arial" w:hAnsi="Arial" w:cs="Arial"/>
          <w:sz w:val="24"/>
          <w:szCs w:val="24"/>
        </w:rPr>
        <w:t>To</w:t>
      </w:r>
      <w:r>
        <w:rPr>
          <w:rFonts w:ascii="Arial" w:hAnsi="Arial" w:cs="Arial"/>
          <w:sz w:val="24"/>
          <w:szCs w:val="24"/>
        </w:rPr>
        <w:t xml:space="preserve"> endorse all appropriations to and from each earmarked reserve prior to approval by the PFCC’s Chief Financial Officer</w:t>
      </w:r>
      <w:r w:rsidRPr="00E62ED0">
        <w:rPr>
          <w:rFonts w:ascii="Arial" w:hAnsi="Arial" w:cs="Arial"/>
          <w:sz w:val="24"/>
          <w:szCs w:val="24"/>
        </w:rPr>
        <w:t>.</w:t>
      </w:r>
    </w:p>
    <w:p w14:paraId="15216C5E" w14:textId="7786AEAC" w:rsidR="00DB3BA3" w:rsidRPr="00DB3BA3" w:rsidRDefault="00DB3BA3" w:rsidP="00DB3BA3">
      <w:pPr>
        <w:pStyle w:val="ListParagraph"/>
        <w:numPr>
          <w:ilvl w:val="2"/>
          <w:numId w:val="28"/>
        </w:numPr>
        <w:rPr>
          <w:rFonts w:ascii="Arial" w:hAnsi="Arial" w:cs="Arial"/>
          <w:sz w:val="24"/>
          <w:szCs w:val="24"/>
        </w:rPr>
      </w:pPr>
      <w:r w:rsidRPr="00DB3BA3">
        <w:rPr>
          <w:rFonts w:ascii="Arial" w:hAnsi="Arial" w:cs="Arial"/>
          <w:sz w:val="24"/>
          <w:szCs w:val="24"/>
        </w:rPr>
        <w:t>To endorse all appropriations to and from general reserves prior to approval by the PFCC’s.</w:t>
      </w:r>
    </w:p>
    <w:p w14:paraId="1DF34EAC" w14:textId="77777777" w:rsidR="00E62ED0" w:rsidRPr="00E62ED0" w:rsidRDefault="00E62ED0" w:rsidP="00A04D4D">
      <w:pPr>
        <w:pStyle w:val="ListParagraph"/>
        <w:ind w:left="792"/>
        <w:jc w:val="both"/>
        <w:rPr>
          <w:rFonts w:ascii="Arial" w:hAnsi="Arial" w:cs="Arial"/>
          <w:sz w:val="24"/>
          <w:szCs w:val="24"/>
        </w:rPr>
      </w:pPr>
    </w:p>
    <w:p w14:paraId="1A1DD954" w14:textId="3FE69F88" w:rsidR="00E62ED0" w:rsidRPr="00E62ED0" w:rsidRDefault="00E62ED0" w:rsidP="00A74361">
      <w:pPr>
        <w:pStyle w:val="ListParagraph"/>
        <w:numPr>
          <w:ilvl w:val="1"/>
          <w:numId w:val="6"/>
        </w:numPr>
        <w:ind w:left="709" w:hanging="709"/>
        <w:rPr>
          <w:rFonts w:ascii="Arial" w:hAnsi="Arial" w:cs="Arial"/>
          <w:sz w:val="24"/>
          <w:szCs w:val="24"/>
        </w:rPr>
      </w:pPr>
      <w:r w:rsidRPr="00E62ED0">
        <w:rPr>
          <w:rFonts w:ascii="Arial" w:hAnsi="Arial" w:cs="Arial"/>
          <w:sz w:val="24"/>
          <w:szCs w:val="24"/>
        </w:rPr>
        <w:t>Responsibilities of the PFCC’s Chief Financ</w:t>
      </w:r>
      <w:r w:rsidR="00CD0687">
        <w:rPr>
          <w:rFonts w:ascii="Arial" w:hAnsi="Arial" w:cs="Arial"/>
          <w:sz w:val="24"/>
          <w:szCs w:val="24"/>
        </w:rPr>
        <w:t>ial</w:t>
      </w:r>
      <w:r w:rsidRPr="00E62ED0">
        <w:rPr>
          <w:rFonts w:ascii="Arial" w:hAnsi="Arial" w:cs="Arial"/>
          <w:sz w:val="24"/>
          <w:szCs w:val="24"/>
        </w:rPr>
        <w:t xml:space="preserve"> Officer: </w:t>
      </w:r>
      <w:r w:rsidR="00A74361">
        <w:rPr>
          <w:rFonts w:ascii="Arial" w:hAnsi="Arial" w:cs="Arial"/>
          <w:sz w:val="24"/>
          <w:szCs w:val="24"/>
        </w:rPr>
        <w:br/>
      </w:r>
    </w:p>
    <w:p w14:paraId="14611318" w14:textId="77777777" w:rsidR="004938BA" w:rsidRDefault="00E62ED0" w:rsidP="00A74361">
      <w:pPr>
        <w:pStyle w:val="ListParagraph"/>
        <w:numPr>
          <w:ilvl w:val="2"/>
          <w:numId w:val="28"/>
        </w:numPr>
        <w:rPr>
          <w:rFonts w:ascii="Arial" w:hAnsi="Arial" w:cs="Arial"/>
          <w:sz w:val="24"/>
          <w:szCs w:val="24"/>
        </w:rPr>
      </w:pPr>
      <w:r w:rsidRPr="00A74361">
        <w:rPr>
          <w:rFonts w:ascii="Arial" w:hAnsi="Arial" w:cs="Arial"/>
          <w:sz w:val="24"/>
          <w:szCs w:val="24"/>
        </w:rPr>
        <w:t>To advise the PFCC on reasonable levels of balances and reserves.</w:t>
      </w:r>
      <w:r w:rsidR="00E52794">
        <w:rPr>
          <w:rFonts w:ascii="Arial" w:hAnsi="Arial" w:cs="Arial"/>
          <w:sz w:val="24"/>
          <w:szCs w:val="24"/>
        </w:rPr>
        <w:t xml:space="preserve"> </w:t>
      </w:r>
    </w:p>
    <w:p w14:paraId="2F3FA4C1" w14:textId="779E70FA" w:rsidR="00E62ED0" w:rsidRPr="00A74361" w:rsidRDefault="00E62ED0" w:rsidP="00A74361">
      <w:pPr>
        <w:pStyle w:val="ListParagraph"/>
        <w:numPr>
          <w:ilvl w:val="2"/>
          <w:numId w:val="28"/>
        </w:numPr>
        <w:rPr>
          <w:rFonts w:ascii="Arial" w:hAnsi="Arial" w:cs="Arial"/>
          <w:sz w:val="24"/>
          <w:szCs w:val="24"/>
        </w:rPr>
      </w:pPr>
      <w:r w:rsidRPr="00A74361">
        <w:rPr>
          <w:rFonts w:ascii="Arial" w:hAnsi="Arial" w:cs="Arial"/>
          <w:sz w:val="24"/>
          <w:szCs w:val="24"/>
        </w:rPr>
        <w:t>To report to the PFCC on the adequacy of reserves and balances before they approve the annual budget and council tax.</w:t>
      </w:r>
    </w:p>
    <w:p w14:paraId="37A039A9" w14:textId="4334D71D" w:rsidR="00E62ED0" w:rsidRDefault="00E62ED0" w:rsidP="00A74361">
      <w:pPr>
        <w:pStyle w:val="ListParagraph"/>
        <w:numPr>
          <w:ilvl w:val="2"/>
          <w:numId w:val="28"/>
        </w:numPr>
        <w:rPr>
          <w:rFonts w:ascii="Arial" w:hAnsi="Arial" w:cs="Arial"/>
          <w:sz w:val="24"/>
          <w:szCs w:val="24"/>
        </w:rPr>
      </w:pPr>
      <w:r w:rsidRPr="00EF1265">
        <w:rPr>
          <w:rFonts w:ascii="Arial" w:hAnsi="Arial" w:cs="Arial"/>
          <w:sz w:val="24"/>
          <w:szCs w:val="24"/>
        </w:rPr>
        <w:t>To approve appropriations to and from each earmarked reserve.</w:t>
      </w:r>
      <w:r w:rsidRPr="00A04D4D">
        <w:rPr>
          <w:rFonts w:ascii="Arial" w:hAnsi="Arial" w:cs="Arial"/>
          <w:sz w:val="24"/>
          <w:szCs w:val="24"/>
        </w:rPr>
        <w:t xml:space="preserve"> These will be separately identified in the Annual Statement of Accounts.</w:t>
      </w:r>
    </w:p>
    <w:p w14:paraId="77BECFCE" w14:textId="6FB67176" w:rsidR="00DB3BA3" w:rsidRPr="005F7B69" w:rsidRDefault="008D51AA" w:rsidP="00DB3BA3">
      <w:pPr>
        <w:pStyle w:val="ListParagraph"/>
        <w:numPr>
          <w:ilvl w:val="2"/>
          <w:numId w:val="28"/>
        </w:numPr>
        <w:rPr>
          <w:rFonts w:ascii="Arial" w:hAnsi="Arial" w:cs="Arial"/>
          <w:sz w:val="24"/>
          <w:szCs w:val="24"/>
        </w:rPr>
      </w:pPr>
      <w:r>
        <w:rPr>
          <w:rFonts w:ascii="Arial" w:hAnsi="Arial" w:cs="Arial"/>
          <w:sz w:val="24"/>
          <w:szCs w:val="24"/>
        </w:rPr>
        <w:t>Following the endorsement of the Chief Constable’s Chief Finance Officer, t</w:t>
      </w:r>
      <w:r w:rsidR="00DB3BA3" w:rsidRPr="00DB3BA3">
        <w:rPr>
          <w:rFonts w:ascii="Arial" w:hAnsi="Arial" w:cs="Arial"/>
          <w:sz w:val="24"/>
          <w:szCs w:val="24"/>
        </w:rPr>
        <w:t>o endorse all appropriations to and from general reserves prior to approval by the PFCC’s.</w:t>
      </w:r>
    </w:p>
    <w:p w14:paraId="18D0CF0E" w14:textId="77777777" w:rsidR="00E62ED0" w:rsidRPr="00A04D4D" w:rsidRDefault="00E62ED0" w:rsidP="00A74361">
      <w:pPr>
        <w:pStyle w:val="ListParagraph"/>
        <w:numPr>
          <w:ilvl w:val="2"/>
          <w:numId w:val="28"/>
        </w:numPr>
        <w:rPr>
          <w:rFonts w:ascii="Arial" w:hAnsi="Arial" w:cs="Arial"/>
          <w:sz w:val="24"/>
          <w:szCs w:val="24"/>
        </w:rPr>
      </w:pPr>
      <w:r w:rsidRPr="00A04D4D">
        <w:rPr>
          <w:rFonts w:ascii="Arial" w:hAnsi="Arial" w:cs="Arial"/>
          <w:sz w:val="24"/>
          <w:szCs w:val="24"/>
        </w:rPr>
        <w:t xml:space="preserve">To publish the PFCC’s reserves strategy on the PFCC website in line with </w:t>
      </w:r>
      <w:proofErr w:type="gramStart"/>
      <w:r w:rsidRPr="00A04D4D">
        <w:rPr>
          <w:rFonts w:ascii="Arial" w:hAnsi="Arial" w:cs="Arial"/>
          <w:sz w:val="24"/>
          <w:szCs w:val="24"/>
        </w:rPr>
        <w:t>Home</w:t>
      </w:r>
      <w:proofErr w:type="gramEnd"/>
      <w:r w:rsidRPr="00A04D4D">
        <w:rPr>
          <w:rFonts w:ascii="Arial" w:hAnsi="Arial" w:cs="Arial"/>
          <w:sz w:val="24"/>
          <w:szCs w:val="24"/>
        </w:rPr>
        <w:t xml:space="preserve"> Office guidance. </w:t>
      </w:r>
    </w:p>
    <w:p w14:paraId="1DA40A94" w14:textId="77777777" w:rsidR="00E62ED0" w:rsidRPr="00E62ED0" w:rsidRDefault="00E62ED0" w:rsidP="00A04D4D">
      <w:pPr>
        <w:pStyle w:val="ListParagraph"/>
        <w:ind w:left="792"/>
        <w:jc w:val="both"/>
        <w:rPr>
          <w:rFonts w:ascii="Arial" w:hAnsi="Arial" w:cs="Arial"/>
          <w:sz w:val="24"/>
          <w:szCs w:val="24"/>
        </w:rPr>
      </w:pPr>
    </w:p>
    <w:p w14:paraId="14789870" w14:textId="56D6594C" w:rsidR="00E62ED0" w:rsidRPr="00E62ED0" w:rsidRDefault="00E62ED0" w:rsidP="00A74361">
      <w:pPr>
        <w:pStyle w:val="ListParagraph"/>
        <w:numPr>
          <w:ilvl w:val="1"/>
          <w:numId w:val="6"/>
        </w:numPr>
        <w:ind w:left="709" w:hanging="709"/>
        <w:rPr>
          <w:rFonts w:ascii="Arial" w:hAnsi="Arial" w:cs="Arial"/>
          <w:sz w:val="24"/>
          <w:szCs w:val="24"/>
        </w:rPr>
      </w:pPr>
      <w:r w:rsidRPr="00E62ED0">
        <w:rPr>
          <w:rFonts w:ascii="Arial" w:hAnsi="Arial" w:cs="Arial"/>
          <w:sz w:val="24"/>
          <w:szCs w:val="24"/>
        </w:rPr>
        <w:t>Responsibilities of the PFCC:</w:t>
      </w:r>
      <w:r w:rsidR="00A74361">
        <w:rPr>
          <w:rFonts w:ascii="Arial" w:hAnsi="Arial" w:cs="Arial"/>
          <w:sz w:val="24"/>
          <w:szCs w:val="24"/>
        </w:rPr>
        <w:br/>
      </w:r>
    </w:p>
    <w:p w14:paraId="598E301E" w14:textId="215DEAE0" w:rsidR="00E62ED0" w:rsidRPr="00E62ED0" w:rsidRDefault="00E62ED0" w:rsidP="00A74361">
      <w:pPr>
        <w:pStyle w:val="ListParagraph"/>
        <w:numPr>
          <w:ilvl w:val="2"/>
          <w:numId w:val="28"/>
        </w:numPr>
        <w:rPr>
          <w:rFonts w:ascii="Arial" w:hAnsi="Arial" w:cs="Arial"/>
          <w:sz w:val="24"/>
          <w:szCs w:val="24"/>
        </w:rPr>
      </w:pPr>
      <w:r w:rsidRPr="00E62ED0">
        <w:rPr>
          <w:rFonts w:ascii="Arial" w:hAnsi="Arial" w:cs="Arial"/>
          <w:sz w:val="24"/>
          <w:szCs w:val="24"/>
        </w:rPr>
        <w:t>To approve a policy on reserves and balances, including lower and upper parameters for the level of general balances.</w:t>
      </w:r>
    </w:p>
    <w:p w14:paraId="3ED8C9A3" w14:textId="7A366C79" w:rsidR="00E62ED0" w:rsidRPr="00E62ED0" w:rsidRDefault="00E62ED0" w:rsidP="00A74361">
      <w:pPr>
        <w:pStyle w:val="ListParagraph"/>
        <w:numPr>
          <w:ilvl w:val="2"/>
          <w:numId w:val="28"/>
        </w:numPr>
        <w:rPr>
          <w:rFonts w:ascii="Arial" w:hAnsi="Arial" w:cs="Arial"/>
          <w:sz w:val="24"/>
          <w:szCs w:val="24"/>
        </w:rPr>
      </w:pPr>
      <w:r w:rsidRPr="00E62ED0">
        <w:rPr>
          <w:rFonts w:ascii="Arial" w:hAnsi="Arial" w:cs="Arial"/>
          <w:sz w:val="24"/>
          <w:szCs w:val="24"/>
        </w:rPr>
        <w:t>To approve the creation of each earmarked reserve. The purpose, usage and basis of transactions should be clearly identified for each reserve established.</w:t>
      </w:r>
    </w:p>
    <w:p w14:paraId="47CFE78A" w14:textId="315AEEAB" w:rsidR="006022EA" w:rsidRDefault="00E62ED0" w:rsidP="00A74361">
      <w:pPr>
        <w:pStyle w:val="ListParagraph"/>
        <w:numPr>
          <w:ilvl w:val="2"/>
          <w:numId w:val="28"/>
        </w:numPr>
        <w:rPr>
          <w:rFonts w:ascii="Arial" w:hAnsi="Arial" w:cs="Arial"/>
          <w:sz w:val="24"/>
          <w:szCs w:val="24"/>
        </w:rPr>
      </w:pPr>
      <w:r w:rsidRPr="00A74361">
        <w:rPr>
          <w:rFonts w:ascii="Arial" w:hAnsi="Arial" w:cs="Arial"/>
          <w:sz w:val="24"/>
          <w:szCs w:val="24"/>
        </w:rPr>
        <w:t>To approve the allocation of monies to and from general and earmarked reserves, as part of the annual budget setting process.</w:t>
      </w:r>
    </w:p>
    <w:p w14:paraId="78448533" w14:textId="43519DB0" w:rsidR="00E154A0" w:rsidRDefault="00C63767" w:rsidP="005F7B69">
      <w:pPr>
        <w:pStyle w:val="ListParagraph"/>
        <w:numPr>
          <w:ilvl w:val="2"/>
          <w:numId w:val="28"/>
        </w:numPr>
        <w:rPr>
          <w:rFonts w:ascii="Arial" w:hAnsi="Arial" w:cs="Arial"/>
          <w:sz w:val="24"/>
          <w:szCs w:val="24"/>
        </w:rPr>
      </w:pPr>
      <w:r>
        <w:rPr>
          <w:rFonts w:ascii="Arial" w:hAnsi="Arial" w:cs="Arial"/>
          <w:sz w:val="24"/>
          <w:szCs w:val="24"/>
        </w:rPr>
        <w:t xml:space="preserve">To approve the allocation of monies to and from general reserves </w:t>
      </w:r>
      <w:r w:rsidR="008D51AA">
        <w:rPr>
          <w:rFonts w:ascii="Arial" w:hAnsi="Arial" w:cs="Arial"/>
          <w:sz w:val="24"/>
          <w:szCs w:val="24"/>
        </w:rPr>
        <w:t xml:space="preserve">in year or </w:t>
      </w:r>
      <w:r w:rsidR="00EF1265">
        <w:rPr>
          <w:rFonts w:ascii="Arial" w:hAnsi="Arial" w:cs="Arial"/>
          <w:sz w:val="24"/>
          <w:szCs w:val="24"/>
        </w:rPr>
        <w:t>as part of the provisional outturn process.</w:t>
      </w:r>
    </w:p>
    <w:p w14:paraId="0A9595B1" w14:textId="77777777" w:rsidR="005F7B69" w:rsidRPr="005F7B69" w:rsidRDefault="005F7B69" w:rsidP="005F7B69">
      <w:pPr>
        <w:pStyle w:val="ListParagraph"/>
        <w:ind w:left="1224"/>
        <w:rPr>
          <w:rFonts w:ascii="Arial" w:hAnsi="Arial" w:cs="Arial"/>
          <w:sz w:val="24"/>
          <w:szCs w:val="24"/>
        </w:rPr>
      </w:pPr>
    </w:p>
    <w:p w14:paraId="3F574B9E" w14:textId="77777777" w:rsidR="00E154A0" w:rsidRDefault="00E154A0" w:rsidP="00BE10CC">
      <w:pPr>
        <w:pStyle w:val="ListParagraph"/>
        <w:ind w:left="792"/>
        <w:jc w:val="both"/>
        <w:rPr>
          <w:rFonts w:ascii="Arial" w:hAnsi="Arial" w:cs="Arial"/>
          <w:sz w:val="24"/>
          <w:szCs w:val="24"/>
        </w:rPr>
      </w:pPr>
    </w:p>
    <w:p w14:paraId="19B2C984" w14:textId="77777777" w:rsidR="005F7B69" w:rsidRDefault="005F7B69" w:rsidP="00BE10CC">
      <w:pPr>
        <w:pStyle w:val="ListParagraph"/>
        <w:ind w:left="792"/>
        <w:jc w:val="both"/>
        <w:rPr>
          <w:rFonts w:ascii="Arial" w:hAnsi="Arial" w:cs="Arial"/>
          <w:sz w:val="24"/>
          <w:szCs w:val="24"/>
        </w:rPr>
      </w:pPr>
    </w:p>
    <w:p w14:paraId="6B9D45DF" w14:textId="77777777" w:rsidR="005F7B69" w:rsidRDefault="005F7B69" w:rsidP="00BE10CC">
      <w:pPr>
        <w:pStyle w:val="ListParagraph"/>
        <w:ind w:left="792"/>
        <w:jc w:val="both"/>
        <w:rPr>
          <w:rFonts w:ascii="Arial" w:hAnsi="Arial" w:cs="Arial"/>
          <w:sz w:val="24"/>
          <w:szCs w:val="24"/>
        </w:rPr>
      </w:pPr>
    </w:p>
    <w:p w14:paraId="71A539BA" w14:textId="77777777" w:rsidR="005F7B69" w:rsidRDefault="005F7B69" w:rsidP="00BE10CC">
      <w:pPr>
        <w:pStyle w:val="ListParagraph"/>
        <w:ind w:left="792"/>
        <w:jc w:val="both"/>
        <w:rPr>
          <w:rFonts w:ascii="Arial" w:hAnsi="Arial" w:cs="Arial"/>
          <w:sz w:val="24"/>
          <w:szCs w:val="24"/>
        </w:rPr>
      </w:pPr>
    </w:p>
    <w:p w14:paraId="47735BAC" w14:textId="77777777" w:rsidR="005F7B69" w:rsidRDefault="005F7B69" w:rsidP="00BE10CC">
      <w:pPr>
        <w:pStyle w:val="ListParagraph"/>
        <w:ind w:left="792"/>
        <w:jc w:val="both"/>
        <w:rPr>
          <w:rFonts w:ascii="Arial" w:hAnsi="Arial" w:cs="Arial"/>
          <w:sz w:val="24"/>
          <w:szCs w:val="24"/>
        </w:rPr>
      </w:pPr>
    </w:p>
    <w:p w14:paraId="7DB02E34" w14:textId="1E9F67D8" w:rsidR="001B43EB" w:rsidRDefault="00EE7933" w:rsidP="00A74361">
      <w:pPr>
        <w:pStyle w:val="ListParagraph"/>
        <w:numPr>
          <w:ilvl w:val="0"/>
          <w:numId w:val="6"/>
        </w:numPr>
        <w:ind w:left="709" w:hanging="709"/>
        <w:jc w:val="both"/>
        <w:rPr>
          <w:rFonts w:ascii="Arial" w:hAnsi="Arial" w:cs="Arial"/>
          <w:b/>
          <w:sz w:val="24"/>
          <w:szCs w:val="24"/>
        </w:rPr>
      </w:pPr>
      <w:r w:rsidRPr="00BE10CC">
        <w:rPr>
          <w:rFonts w:ascii="Arial" w:hAnsi="Arial" w:cs="Arial"/>
          <w:b/>
          <w:sz w:val="24"/>
          <w:szCs w:val="24"/>
        </w:rPr>
        <w:lastRenderedPageBreak/>
        <w:t>Reserves Strategy</w:t>
      </w:r>
    </w:p>
    <w:p w14:paraId="75D576BD" w14:textId="77777777" w:rsidR="001B43EB" w:rsidRPr="00BE10CC" w:rsidRDefault="001B43EB" w:rsidP="00BE10CC">
      <w:pPr>
        <w:pStyle w:val="ListParagraph"/>
        <w:ind w:left="360"/>
        <w:jc w:val="both"/>
        <w:rPr>
          <w:rFonts w:ascii="Arial" w:hAnsi="Arial" w:cs="Arial"/>
          <w:b/>
          <w:sz w:val="24"/>
          <w:szCs w:val="24"/>
        </w:rPr>
      </w:pPr>
    </w:p>
    <w:p w14:paraId="277BE0DF" w14:textId="3D5B733C" w:rsidR="003548F5" w:rsidRDefault="003548F5" w:rsidP="00A74361">
      <w:pPr>
        <w:pStyle w:val="ListParagraph"/>
        <w:numPr>
          <w:ilvl w:val="1"/>
          <w:numId w:val="6"/>
        </w:numPr>
        <w:ind w:left="709" w:hanging="709"/>
        <w:rPr>
          <w:rFonts w:ascii="Arial" w:hAnsi="Arial" w:cs="Arial"/>
          <w:sz w:val="24"/>
          <w:szCs w:val="24"/>
        </w:rPr>
      </w:pPr>
      <w:r>
        <w:rPr>
          <w:rFonts w:ascii="Arial" w:hAnsi="Arial" w:cs="Arial"/>
          <w:sz w:val="24"/>
          <w:szCs w:val="24"/>
        </w:rPr>
        <w:t xml:space="preserve">With </w:t>
      </w:r>
      <w:r w:rsidRPr="003548F5">
        <w:rPr>
          <w:rFonts w:ascii="Arial" w:hAnsi="Arial" w:cs="Arial"/>
          <w:sz w:val="24"/>
          <w:szCs w:val="24"/>
        </w:rPr>
        <w:t xml:space="preserve">all financing </w:t>
      </w:r>
      <w:r>
        <w:rPr>
          <w:rFonts w:ascii="Arial" w:hAnsi="Arial" w:cs="Arial"/>
          <w:sz w:val="24"/>
          <w:szCs w:val="24"/>
        </w:rPr>
        <w:t xml:space="preserve">being </w:t>
      </w:r>
      <w:r w:rsidRPr="003548F5">
        <w:rPr>
          <w:rFonts w:ascii="Arial" w:hAnsi="Arial" w:cs="Arial"/>
          <w:sz w:val="24"/>
          <w:szCs w:val="24"/>
        </w:rPr>
        <w:t>issued to the P</w:t>
      </w:r>
      <w:r>
        <w:rPr>
          <w:rFonts w:ascii="Arial" w:hAnsi="Arial" w:cs="Arial"/>
          <w:sz w:val="24"/>
          <w:szCs w:val="24"/>
        </w:rPr>
        <w:t>F</w:t>
      </w:r>
      <w:r w:rsidRPr="003548F5">
        <w:rPr>
          <w:rFonts w:ascii="Arial" w:hAnsi="Arial" w:cs="Arial"/>
          <w:sz w:val="24"/>
          <w:szCs w:val="24"/>
        </w:rPr>
        <w:t>CC</w:t>
      </w:r>
      <w:r>
        <w:rPr>
          <w:rFonts w:ascii="Arial" w:hAnsi="Arial" w:cs="Arial"/>
          <w:sz w:val="24"/>
          <w:szCs w:val="24"/>
        </w:rPr>
        <w:t>,</w:t>
      </w:r>
      <w:r w:rsidRPr="003548F5">
        <w:rPr>
          <w:rFonts w:ascii="Arial" w:hAnsi="Arial" w:cs="Arial"/>
          <w:sz w:val="24"/>
          <w:szCs w:val="24"/>
        </w:rPr>
        <w:t xml:space="preserve"> </w:t>
      </w:r>
      <w:r>
        <w:rPr>
          <w:rFonts w:ascii="Arial" w:hAnsi="Arial" w:cs="Arial"/>
          <w:sz w:val="24"/>
          <w:szCs w:val="24"/>
        </w:rPr>
        <w:t xml:space="preserve">the </w:t>
      </w:r>
      <w:r w:rsidRPr="003548F5">
        <w:rPr>
          <w:rFonts w:ascii="Arial" w:hAnsi="Arial" w:cs="Arial"/>
          <w:sz w:val="24"/>
          <w:szCs w:val="24"/>
        </w:rPr>
        <w:t xml:space="preserve">reserves are </w:t>
      </w:r>
      <w:r>
        <w:rPr>
          <w:rFonts w:ascii="Arial" w:hAnsi="Arial" w:cs="Arial"/>
          <w:sz w:val="24"/>
          <w:szCs w:val="24"/>
        </w:rPr>
        <w:t xml:space="preserve">therefore </w:t>
      </w:r>
      <w:r w:rsidRPr="003548F5">
        <w:rPr>
          <w:rFonts w:ascii="Arial" w:hAnsi="Arial" w:cs="Arial"/>
          <w:sz w:val="24"/>
          <w:szCs w:val="24"/>
        </w:rPr>
        <w:t>held by the P</w:t>
      </w:r>
      <w:r>
        <w:rPr>
          <w:rFonts w:ascii="Arial" w:hAnsi="Arial" w:cs="Arial"/>
          <w:sz w:val="24"/>
          <w:szCs w:val="24"/>
        </w:rPr>
        <w:t>F</w:t>
      </w:r>
      <w:r w:rsidRPr="003548F5">
        <w:rPr>
          <w:rFonts w:ascii="Arial" w:hAnsi="Arial" w:cs="Arial"/>
          <w:sz w:val="24"/>
          <w:szCs w:val="24"/>
        </w:rPr>
        <w:t>CC</w:t>
      </w:r>
      <w:r w:rsidR="00CC7963">
        <w:rPr>
          <w:rFonts w:ascii="Arial" w:hAnsi="Arial" w:cs="Arial"/>
          <w:sz w:val="24"/>
          <w:szCs w:val="24"/>
        </w:rPr>
        <w:t>.</w:t>
      </w:r>
    </w:p>
    <w:p w14:paraId="08275D78" w14:textId="77777777" w:rsidR="003548F5" w:rsidRPr="003548F5" w:rsidRDefault="003548F5" w:rsidP="003548F5">
      <w:pPr>
        <w:pStyle w:val="ListParagraph"/>
        <w:ind w:left="792"/>
        <w:jc w:val="both"/>
        <w:rPr>
          <w:rFonts w:ascii="Arial" w:hAnsi="Arial" w:cs="Arial"/>
          <w:sz w:val="24"/>
          <w:szCs w:val="24"/>
        </w:rPr>
      </w:pPr>
    </w:p>
    <w:p w14:paraId="693C2477" w14:textId="000FBF48" w:rsidR="003548F5" w:rsidRPr="003548F5" w:rsidRDefault="003548F5" w:rsidP="00A74361">
      <w:pPr>
        <w:pStyle w:val="ListParagraph"/>
        <w:numPr>
          <w:ilvl w:val="1"/>
          <w:numId w:val="6"/>
        </w:numPr>
        <w:ind w:left="709" w:hanging="709"/>
        <w:rPr>
          <w:rFonts w:ascii="Arial" w:hAnsi="Arial" w:cs="Arial"/>
          <w:sz w:val="24"/>
          <w:szCs w:val="24"/>
        </w:rPr>
      </w:pPr>
      <w:r>
        <w:rPr>
          <w:rFonts w:ascii="Arial" w:hAnsi="Arial" w:cs="Arial"/>
          <w:sz w:val="24"/>
          <w:szCs w:val="24"/>
        </w:rPr>
        <w:t xml:space="preserve">The PFCC </w:t>
      </w:r>
      <w:r w:rsidRPr="003548F5">
        <w:rPr>
          <w:rFonts w:ascii="Arial" w:hAnsi="Arial" w:cs="Arial"/>
          <w:sz w:val="24"/>
          <w:szCs w:val="24"/>
        </w:rPr>
        <w:t>holds reserves for four reasons:</w:t>
      </w:r>
      <w:r w:rsidR="00A74361">
        <w:rPr>
          <w:rFonts w:ascii="Arial" w:hAnsi="Arial" w:cs="Arial"/>
          <w:sz w:val="24"/>
          <w:szCs w:val="24"/>
        </w:rPr>
        <w:br/>
      </w:r>
    </w:p>
    <w:p w14:paraId="434FE3AA" w14:textId="468980B6" w:rsidR="003548F5" w:rsidRPr="003548F5" w:rsidRDefault="003548F5" w:rsidP="00A74361">
      <w:pPr>
        <w:pStyle w:val="ListParagraph"/>
        <w:numPr>
          <w:ilvl w:val="2"/>
          <w:numId w:val="28"/>
        </w:numPr>
        <w:jc w:val="both"/>
        <w:rPr>
          <w:rFonts w:ascii="Arial" w:hAnsi="Arial" w:cs="Arial"/>
          <w:sz w:val="24"/>
          <w:szCs w:val="24"/>
        </w:rPr>
      </w:pPr>
      <w:r w:rsidRPr="003548F5">
        <w:rPr>
          <w:rFonts w:ascii="Arial" w:hAnsi="Arial" w:cs="Arial"/>
          <w:sz w:val="24"/>
          <w:szCs w:val="24"/>
        </w:rPr>
        <w:t>As a general contingency against unknown or unforeseen events</w:t>
      </w:r>
    </w:p>
    <w:p w14:paraId="6ADDC2F4" w14:textId="2A59A7C5" w:rsidR="003548F5" w:rsidRPr="003548F5" w:rsidRDefault="003548F5" w:rsidP="00A74361">
      <w:pPr>
        <w:pStyle w:val="ListParagraph"/>
        <w:numPr>
          <w:ilvl w:val="2"/>
          <w:numId w:val="28"/>
        </w:numPr>
        <w:jc w:val="both"/>
        <w:rPr>
          <w:rFonts w:ascii="Arial" w:hAnsi="Arial" w:cs="Arial"/>
          <w:sz w:val="24"/>
          <w:szCs w:val="24"/>
        </w:rPr>
      </w:pPr>
      <w:r w:rsidRPr="003548F5">
        <w:rPr>
          <w:rFonts w:ascii="Arial" w:hAnsi="Arial" w:cs="Arial"/>
          <w:sz w:val="24"/>
          <w:szCs w:val="24"/>
        </w:rPr>
        <w:t xml:space="preserve">To manage strategic risks in the </w:t>
      </w:r>
      <w:r w:rsidR="001F1224" w:rsidRPr="003548F5">
        <w:rPr>
          <w:rFonts w:ascii="Arial" w:hAnsi="Arial" w:cs="Arial"/>
          <w:sz w:val="24"/>
          <w:szCs w:val="24"/>
        </w:rPr>
        <w:t>organisation</w:t>
      </w:r>
    </w:p>
    <w:p w14:paraId="588CEE72" w14:textId="724EF53C" w:rsidR="003548F5" w:rsidRPr="003548F5" w:rsidRDefault="003548F5" w:rsidP="00A74361">
      <w:pPr>
        <w:pStyle w:val="ListParagraph"/>
        <w:numPr>
          <w:ilvl w:val="2"/>
          <w:numId w:val="28"/>
        </w:numPr>
        <w:rPr>
          <w:rFonts w:ascii="Arial" w:hAnsi="Arial" w:cs="Arial"/>
          <w:sz w:val="24"/>
          <w:szCs w:val="24"/>
        </w:rPr>
      </w:pPr>
      <w:r w:rsidRPr="003548F5">
        <w:rPr>
          <w:rFonts w:ascii="Arial" w:hAnsi="Arial" w:cs="Arial"/>
          <w:sz w:val="24"/>
          <w:szCs w:val="24"/>
        </w:rPr>
        <w:t>To manage change within the organisation</w:t>
      </w:r>
    </w:p>
    <w:p w14:paraId="31A46328" w14:textId="6EFB61C2" w:rsidR="003548F5" w:rsidRDefault="003548F5" w:rsidP="00A74361">
      <w:pPr>
        <w:pStyle w:val="ListParagraph"/>
        <w:numPr>
          <w:ilvl w:val="2"/>
          <w:numId w:val="28"/>
        </w:numPr>
        <w:jc w:val="both"/>
        <w:rPr>
          <w:rFonts w:ascii="Arial" w:hAnsi="Arial" w:cs="Arial"/>
          <w:sz w:val="24"/>
          <w:szCs w:val="24"/>
        </w:rPr>
      </w:pPr>
      <w:r w:rsidRPr="003548F5">
        <w:rPr>
          <w:rFonts w:ascii="Arial" w:hAnsi="Arial" w:cs="Arial"/>
          <w:sz w:val="24"/>
          <w:szCs w:val="24"/>
        </w:rPr>
        <w:t>To be held for statutory reasons</w:t>
      </w:r>
    </w:p>
    <w:p w14:paraId="3CE24BC8" w14:textId="50821EAF" w:rsidR="00CA094D" w:rsidRDefault="00CA094D" w:rsidP="00CA094D">
      <w:pPr>
        <w:pStyle w:val="ListParagraph"/>
        <w:ind w:left="1224"/>
        <w:jc w:val="both"/>
        <w:rPr>
          <w:rFonts w:ascii="Arial" w:hAnsi="Arial" w:cs="Arial"/>
          <w:sz w:val="24"/>
          <w:szCs w:val="24"/>
        </w:rPr>
      </w:pPr>
    </w:p>
    <w:p w14:paraId="116FCA75" w14:textId="4CACC8CE" w:rsidR="00CA094D" w:rsidRDefault="00CA094D" w:rsidP="00CA094D">
      <w:pPr>
        <w:pStyle w:val="ListParagraph"/>
        <w:numPr>
          <w:ilvl w:val="1"/>
          <w:numId w:val="6"/>
        </w:numPr>
        <w:ind w:left="709" w:hanging="709"/>
        <w:rPr>
          <w:rFonts w:ascii="Arial" w:hAnsi="Arial" w:cs="Arial"/>
          <w:sz w:val="24"/>
          <w:szCs w:val="24"/>
        </w:rPr>
      </w:pPr>
      <w:r w:rsidRPr="00CA094D">
        <w:rPr>
          <w:rFonts w:ascii="Arial" w:hAnsi="Arial" w:cs="Arial"/>
          <w:sz w:val="24"/>
          <w:szCs w:val="24"/>
        </w:rPr>
        <w:tab/>
        <w:t xml:space="preserve">Reserves can also be categorised by </w:t>
      </w:r>
    </w:p>
    <w:p w14:paraId="1BA069BE" w14:textId="77777777" w:rsidR="00CA094D" w:rsidRPr="00CA094D" w:rsidRDefault="00CA094D" w:rsidP="00CA094D">
      <w:pPr>
        <w:pStyle w:val="ListParagraph"/>
        <w:ind w:left="709"/>
        <w:rPr>
          <w:rFonts w:ascii="Arial" w:hAnsi="Arial" w:cs="Arial"/>
          <w:sz w:val="24"/>
          <w:szCs w:val="24"/>
        </w:rPr>
      </w:pPr>
    </w:p>
    <w:p w14:paraId="08B6972A" w14:textId="312F5C7A" w:rsidR="00CA094D" w:rsidRPr="00CA094D" w:rsidRDefault="00CA094D" w:rsidP="00CA094D">
      <w:pPr>
        <w:pStyle w:val="ListParagraph"/>
        <w:numPr>
          <w:ilvl w:val="2"/>
          <w:numId w:val="28"/>
        </w:numPr>
        <w:jc w:val="both"/>
        <w:rPr>
          <w:rFonts w:ascii="Arial" w:hAnsi="Arial" w:cs="Arial"/>
          <w:sz w:val="24"/>
          <w:szCs w:val="24"/>
        </w:rPr>
      </w:pPr>
      <w:r w:rsidRPr="00CA094D">
        <w:rPr>
          <w:rFonts w:ascii="Arial" w:hAnsi="Arial" w:cs="Arial"/>
          <w:sz w:val="24"/>
          <w:szCs w:val="24"/>
        </w:rPr>
        <w:t xml:space="preserve">Usable Reserves – These reserves are those that may be used to provide services, subject to the need to maintain a prudent level of reserves and any statutory limitations on their use, for example the Capital Receipts Reserve may only be used to fund capital expenditure repay debt or meet the cost of disposal of land. </w:t>
      </w:r>
    </w:p>
    <w:p w14:paraId="2D446C7F" w14:textId="14775743" w:rsidR="007F7B53" w:rsidRDefault="00CA094D" w:rsidP="00E154A0">
      <w:pPr>
        <w:pStyle w:val="ListParagraph"/>
        <w:numPr>
          <w:ilvl w:val="2"/>
          <w:numId w:val="28"/>
        </w:numPr>
        <w:jc w:val="both"/>
        <w:rPr>
          <w:rFonts w:ascii="Arial" w:hAnsi="Arial" w:cs="Arial"/>
          <w:sz w:val="24"/>
          <w:szCs w:val="24"/>
        </w:rPr>
      </w:pPr>
      <w:r w:rsidRPr="00CA094D">
        <w:rPr>
          <w:rFonts w:ascii="Arial" w:hAnsi="Arial" w:cs="Arial"/>
          <w:sz w:val="24"/>
          <w:szCs w:val="24"/>
        </w:rPr>
        <w:t>Unusable Reserves – These reserves are those that cannot be used to provide services. They arise from accounting adjustments and change annually as part of the year end process.</w:t>
      </w:r>
    </w:p>
    <w:p w14:paraId="6C4DAED9" w14:textId="77777777" w:rsidR="00E154A0" w:rsidRPr="00E154A0" w:rsidRDefault="00E154A0" w:rsidP="00E154A0">
      <w:pPr>
        <w:pStyle w:val="ListParagraph"/>
        <w:ind w:left="1224"/>
        <w:jc w:val="both"/>
        <w:rPr>
          <w:rFonts w:ascii="Arial" w:hAnsi="Arial" w:cs="Arial"/>
          <w:sz w:val="24"/>
          <w:szCs w:val="24"/>
        </w:rPr>
      </w:pPr>
    </w:p>
    <w:p w14:paraId="0A7CC3E9" w14:textId="7233189E" w:rsidR="003548F5" w:rsidRDefault="003548F5" w:rsidP="00A74361">
      <w:pPr>
        <w:pStyle w:val="ListParagraph"/>
        <w:numPr>
          <w:ilvl w:val="1"/>
          <w:numId w:val="6"/>
        </w:numPr>
        <w:ind w:left="709" w:hanging="709"/>
        <w:rPr>
          <w:rFonts w:ascii="Arial" w:hAnsi="Arial" w:cs="Arial"/>
          <w:sz w:val="24"/>
          <w:szCs w:val="24"/>
        </w:rPr>
      </w:pPr>
      <w:r w:rsidRPr="003548F5">
        <w:rPr>
          <w:rFonts w:ascii="Arial" w:hAnsi="Arial" w:cs="Arial"/>
          <w:sz w:val="24"/>
          <w:szCs w:val="24"/>
        </w:rPr>
        <w:t>The P</w:t>
      </w:r>
      <w:r>
        <w:rPr>
          <w:rFonts w:ascii="Arial" w:hAnsi="Arial" w:cs="Arial"/>
          <w:sz w:val="24"/>
          <w:szCs w:val="24"/>
        </w:rPr>
        <w:t>F</w:t>
      </w:r>
      <w:r w:rsidRPr="003548F5">
        <w:rPr>
          <w:rFonts w:ascii="Arial" w:hAnsi="Arial" w:cs="Arial"/>
          <w:sz w:val="24"/>
          <w:szCs w:val="24"/>
        </w:rPr>
        <w:t xml:space="preserve">CC’s Reserve Strategy has the following key </w:t>
      </w:r>
      <w:r w:rsidR="00303CF4">
        <w:rPr>
          <w:rFonts w:ascii="Arial" w:hAnsi="Arial" w:cs="Arial"/>
          <w:sz w:val="24"/>
          <w:szCs w:val="24"/>
        </w:rPr>
        <w:t>features</w:t>
      </w:r>
      <w:r w:rsidR="00A74361">
        <w:rPr>
          <w:rFonts w:ascii="Arial" w:hAnsi="Arial" w:cs="Arial"/>
          <w:sz w:val="24"/>
          <w:szCs w:val="24"/>
        </w:rPr>
        <w:t>:</w:t>
      </w:r>
      <w:r w:rsidR="00A74361">
        <w:rPr>
          <w:rFonts w:ascii="Arial" w:hAnsi="Arial" w:cs="Arial"/>
          <w:sz w:val="24"/>
          <w:szCs w:val="24"/>
        </w:rPr>
        <w:br/>
      </w:r>
    </w:p>
    <w:p w14:paraId="13C78385" w14:textId="78608921" w:rsidR="003548F5" w:rsidRPr="003548F5" w:rsidRDefault="00303CF4" w:rsidP="00A74361">
      <w:pPr>
        <w:pStyle w:val="ListParagraph"/>
        <w:numPr>
          <w:ilvl w:val="2"/>
          <w:numId w:val="28"/>
        </w:numPr>
        <w:rPr>
          <w:rFonts w:ascii="Arial" w:hAnsi="Arial" w:cs="Arial"/>
          <w:sz w:val="24"/>
          <w:szCs w:val="24"/>
        </w:rPr>
      </w:pPr>
      <w:r w:rsidRPr="00303CF4">
        <w:rPr>
          <w:rFonts w:ascii="Arial" w:hAnsi="Arial" w:cs="Arial"/>
          <w:sz w:val="24"/>
          <w:szCs w:val="24"/>
        </w:rPr>
        <w:t xml:space="preserve">To establish a General Reserve position of 3% of net revenue expenditure by the end of 2024/25 and to then maintain the General Reserve at 3% by each year end, in the three following years of the </w:t>
      </w:r>
      <w:r w:rsidR="00162DCD">
        <w:rPr>
          <w:rFonts w:ascii="Arial" w:hAnsi="Arial" w:cs="Arial"/>
          <w:sz w:val="24"/>
          <w:szCs w:val="24"/>
        </w:rPr>
        <w:t>MTFS</w:t>
      </w:r>
      <w:r>
        <w:rPr>
          <w:rFonts w:ascii="Arial" w:hAnsi="Arial" w:cs="Arial"/>
          <w:sz w:val="24"/>
          <w:szCs w:val="24"/>
        </w:rPr>
        <w:t>,</w:t>
      </w:r>
      <w:r w:rsidRPr="00303CF4">
        <w:rPr>
          <w:rFonts w:ascii="Arial" w:hAnsi="Arial" w:cs="Arial"/>
          <w:sz w:val="24"/>
          <w:szCs w:val="24"/>
        </w:rPr>
        <w:t xml:space="preserve"> </w:t>
      </w:r>
      <w:r w:rsidR="003548F5" w:rsidRPr="003548F5">
        <w:rPr>
          <w:rFonts w:ascii="Arial" w:hAnsi="Arial" w:cs="Arial"/>
          <w:sz w:val="24"/>
          <w:szCs w:val="24"/>
        </w:rPr>
        <w:t>for unknown and/or unforeseeable events.</w:t>
      </w:r>
    </w:p>
    <w:p w14:paraId="51C3975E" w14:textId="619DBBA8" w:rsidR="003548F5" w:rsidRDefault="003548F5" w:rsidP="00A74361">
      <w:pPr>
        <w:pStyle w:val="ListParagraph"/>
        <w:numPr>
          <w:ilvl w:val="2"/>
          <w:numId w:val="28"/>
        </w:numPr>
        <w:rPr>
          <w:rFonts w:ascii="Arial" w:hAnsi="Arial" w:cs="Arial"/>
          <w:sz w:val="24"/>
          <w:szCs w:val="24"/>
        </w:rPr>
      </w:pPr>
      <w:r w:rsidRPr="003548F5">
        <w:rPr>
          <w:rFonts w:ascii="Arial" w:hAnsi="Arial" w:cs="Arial"/>
          <w:sz w:val="24"/>
          <w:szCs w:val="24"/>
        </w:rPr>
        <w:t>Earmarked reserves will be created to cover for possible known significant risks</w:t>
      </w:r>
      <w:r w:rsidR="001B35D8">
        <w:rPr>
          <w:rFonts w:ascii="Arial" w:hAnsi="Arial" w:cs="Arial"/>
          <w:sz w:val="24"/>
          <w:szCs w:val="24"/>
        </w:rPr>
        <w:t xml:space="preserve"> and future commitments</w:t>
      </w:r>
      <w:r w:rsidRPr="003548F5">
        <w:rPr>
          <w:rFonts w:ascii="Arial" w:hAnsi="Arial" w:cs="Arial"/>
          <w:sz w:val="24"/>
          <w:szCs w:val="24"/>
        </w:rPr>
        <w:t>.</w:t>
      </w:r>
    </w:p>
    <w:p w14:paraId="251AECC0" w14:textId="2A79AA01" w:rsidR="00303CF4" w:rsidRPr="00303CF4" w:rsidRDefault="00303CF4" w:rsidP="00A74361">
      <w:pPr>
        <w:pStyle w:val="ListParagraph"/>
        <w:numPr>
          <w:ilvl w:val="2"/>
          <w:numId w:val="28"/>
        </w:numPr>
        <w:rPr>
          <w:rFonts w:ascii="Arial" w:hAnsi="Arial" w:cs="Arial"/>
          <w:sz w:val="24"/>
          <w:szCs w:val="24"/>
        </w:rPr>
      </w:pPr>
      <w:r w:rsidRPr="00303CF4">
        <w:rPr>
          <w:rFonts w:ascii="Arial" w:hAnsi="Arial" w:cs="Arial"/>
          <w:sz w:val="24"/>
          <w:szCs w:val="24"/>
        </w:rPr>
        <w:t>The PFCC will apply a prudent approach to reserves and risk management although this will be balanced with ensuring the public of today benefit from today’s funding.</w:t>
      </w:r>
    </w:p>
    <w:p w14:paraId="7B7A60B4" w14:textId="75459BF4" w:rsidR="003548F5" w:rsidRPr="003548F5" w:rsidRDefault="003548F5" w:rsidP="00A74361">
      <w:pPr>
        <w:pStyle w:val="ListParagraph"/>
        <w:numPr>
          <w:ilvl w:val="2"/>
          <w:numId w:val="28"/>
        </w:numPr>
        <w:rPr>
          <w:rFonts w:ascii="Arial" w:hAnsi="Arial" w:cs="Arial"/>
          <w:sz w:val="24"/>
          <w:szCs w:val="24"/>
        </w:rPr>
      </w:pPr>
      <w:r w:rsidRPr="003548F5">
        <w:rPr>
          <w:rFonts w:ascii="Arial" w:hAnsi="Arial" w:cs="Arial"/>
          <w:sz w:val="24"/>
          <w:szCs w:val="24"/>
        </w:rPr>
        <w:t xml:space="preserve">The PFCC will take a long-term approach to protecting, </w:t>
      </w:r>
      <w:proofErr w:type="gramStart"/>
      <w:r w:rsidRPr="003548F5">
        <w:rPr>
          <w:rFonts w:ascii="Arial" w:hAnsi="Arial" w:cs="Arial"/>
          <w:sz w:val="24"/>
          <w:szCs w:val="24"/>
        </w:rPr>
        <w:t>maintaining</w:t>
      </w:r>
      <w:proofErr w:type="gramEnd"/>
      <w:r w:rsidRPr="003548F5">
        <w:rPr>
          <w:rFonts w:ascii="Arial" w:hAnsi="Arial" w:cs="Arial"/>
          <w:sz w:val="24"/>
          <w:szCs w:val="24"/>
        </w:rPr>
        <w:t xml:space="preserve"> and investing in all its assets supporting policing for the long term as well as short term.</w:t>
      </w:r>
    </w:p>
    <w:p w14:paraId="53E20A8C" w14:textId="2AC678FD" w:rsidR="003548F5" w:rsidRPr="003548F5" w:rsidRDefault="003548F5" w:rsidP="00A74361">
      <w:pPr>
        <w:pStyle w:val="ListParagraph"/>
        <w:numPr>
          <w:ilvl w:val="2"/>
          <w:numId w:val="28"/>
        </w:numPr>
        <w:rPr>
          <w:rFonts w:ascii="Arial" w:hAnsi="Arial" w:cs="Arial"/>
          <w:sz w:val="24"/>
          <w:szCs w:val="24"/>
        </w:rPr>
      </w:pPr>
      <w:r w:rsidRPr="003548F5">
        <w:rPr>
          <w:rFonts w:ascii="Arial" w:hAnsi="Arial" w:cs="Arial"/>
          <w:sz w:val="24"/>
          <w:szCs w:val="24"/>
        </w:rPr>
        <w:t>Reserves not required for the above purposes will be clearly identified as available for other discretionary opportunities.</w:t>
      </w:r>
    </w:p>
    <w:p w14:paraId="66F4CE82" w14:textId="77777777" w:rsidR="003548F5" w:rsidRPr="003548F5" w:rsidRDefault="003548F5" w:rsidP="003548F5">
      <w:pPr>
        <w:pStyle w:val="ListParagraph"/>
        <w:ind w:left="792"/>
        <w:jc w:val="both"/>
        <w:rPr>
          <w:rFonts w:ascii="Arial" w:hAnsi="Arial" w:cs="Arial"/>
          <w:sz w:val="24"/>
          <w:szCs w:val="24"/>
        </w:rPr>
      </w:pPr>
    </w:p>
    <w:p w14:paraId="33EC629B" w14:textId="082F6667" w:rsidR="00E154A0" w:rsidRDefault="003548F5" w:rsidP="005F7B69">
      <w:pPr>
        <w:pStyle w:val="ListParagraph"/>
        <w:numPr>
          <w:ilvl w:val="1"/>
          <w:numId w:val="6"/>
        </w:numPr>
        <w:ind w:left="709" w:hanging="709"/>
      </w:pPr>
      <w:r w:rsidRPr="00303CF4">
        <w:rPr>
          <w:rFonts w:ascii="Arial" w:hAnsi="Arial" w:cs="Arial"/>
          <w:sz w:val="24"/>
          <w:szCs w:val="24"/>
        </w:rPr>
        <w:t>T</w:t>
      </w:r>
      <w:r w:rsidR="00303CF4">
        <w:rPr>
          <w:rFonts w:ascii="Arial" w:hAnsi="Arial" w:cs="Arial"/>
          <w:sz w:val="24"/>
          <w:szCs w:val="24"/>
        </w:rPr>
        <w:t xml:space="preserve">he elements of </w:t>
      </w:r>
      <w:r w:rsidRPr="00303CF4">
        <w:rPr>
          <w:rFonts w:ascii="Arial" w:hAnsi="Arial" w:cs="Arial"/>
          <w:sz w:val="24"/>
          <w:szCs w:val="24"/>
        </w:rPr>
        <w:t>the P</w:t>
      </w:r>
      <w:r w:rsidR="00303CF4" w:rsidRPr="00303CF4">
        <w:rPr>
          <w:rFonts w:ascii="Arial" w:hAnsi="Arial" w:cs="Arial"/>
          <w:sz w:val="24"/>
          <w:szCs w:val="24"/>
        </w:rPr>
        <w:t>F</w:t>
      </w:r>
      <w:r w:rsidRPr="00303CF4">
        <w:rPr>
          <w:rFonts w:ascii="Arial" w:hAnsi="Arial" w:cs="Arial"/>
          <w:sz w:val="24"/>
          <w:szCs w:val="24"/>
        </w:rPr>
        <w:t>CC’s reserves strategy have not changed, however, the</w:t>
      </w:r>
      <w:r w:rsidR="00303CF4">
        <w:rPr>
          <w:rFonts w:ascii="Arial" w:hAnsi="Arial" w:cs="Arial"/>
          <w:sz w:val="24"/>
          <w:szCs w:val="24"/>
        </w:rPr>
        <w:t>ir</w:t>
      </w:r>
      <w:r w:rsidRPr="00303CF4">
        <w:rPr>
          <w:rFonts w:ascii="Arial" w:hAnsi="Arial" w:cs="Arial"/>
          <w:sz w:val="24"/>
          <w:szCs w:val="24"/>
        </w:rPr>
        <w:t xml:space="preserve"> </w:t>
      </w:r>
      <w:r w:rsidR="00303CF4">
        <w:rPr>
          <w:rFonts w:ascii="Arial" w:hAnsi="Arial" w:cs="Arial"/>
          <w:sz w:val="24"/>
          <w:szCs w:val="24"/>
        </w:rPr>
        <w:t xml:space="preserve">achievement </w:t>
      </w:r>
      <w:r w:rsidRPr="00303CF4">
        <w:rPr>
          <w:rFonts w:ascii="Arial" w:hAnsi="Arial" w:cs="Arial"/>
          <w:sz w:val="24"/>
          <w:szCs w:val="24"/>
        </w:rPr>
        <w:t xml:space="preserve">has become more challenging due to the current financial climate. </w:t>
      </w:r>
    </w:p>
    <w:p w14:paraId="22D53FA2" w14:textId="77777777" w:rsidR="007128C5" w:rsidRDefault="007128C5" w:rsidP="00A74361">
      <w:pPr>
        <w:pStyle w:val="ListParagraph"/>
        <w:ind w:left="709"/>
      </w:pPr>
    </w:p>
    <w:p w14:paraId="50C1F299" w14:textId="77777777" w:rsidR="007F7B53" w:rsidRPr="00BE10CC" w:rsidRDefault="007F7B53" w:rsidP="00A74361">
      <w:pPr>
        <w:pStyle w:val="ListParagraph"/>
        <w:ind w:left="709"/>
      </w:pPr>
    </w:p>
    <w:p w14:paraId="6E27686D" w14:textId="685A97FD" w:rsidR="001B43EB" w:rsidRDefault="001B43EB" w:rsidP="00A74361">
      <w:pPr>
        <w:pStyle w:val="ListParagraph"/>
        <w:numPr>
          <w:ilvl w:val="0"/>
          <w:numId w:val="6"/>
        </w:numPr>
        <w:ind w:left="709" w:hanging="709"/>
        <w:jc w:val="both"/>
        <w:rPr>
          <w:rFonts w:ascii="Arial" w:hAnsi="Arial" w:cs="Arial"/>
          <w:b/>
          <w:sz w:val="24"/>
          <w:szCs w:val="24"/>
        </w:rPr>
      </w:pPr>
      <w:r w:rsidRPr="00BE10CC">
        <w:rPr>
          <w:rFonts w:ascii="Arial" w:hAnsi="Arial" w:cs="Arial"/>
          <w:b/>
          <w:sz w:val="24"/>
          <w:szCs w:val="24"/>
        </w:rPr>
        <w:t>General Reserve</w:t>
      </w:r>
    </w:p>
    <w:p w14:paraId="2ED794C2" w14:textId="77777777" w:rsidR="001B43EB" w:rsidRPr="00BE10CC" w:rsidRDefault="001B43EB" w:rsidP="00BE10CC">
      <w:pPr>
        <w:pStyle w:val="ListParagraph"/>
        <w:ind w:left="360"/>
        <w:jc w:val="both"/>
        <w:rPr>
          <w:rFonts w:ascii="Arial" w:hAnsi="Arial" w:cs="Arial"/>
          <w:b/>
          <w:sz w:val="24"/>
          <w:szCs w:val="24"/>
        </w:rPr>
      </w:pPr>
    </w:p>
    <w:p w14:paraId="6FCCCDB0" w14:textId="2C865B71" w:rsidR="001B43EB" w:rsidRDefault="00055886" w:rsidP="00A74361">
      <w:pPr>
        <w:pStyle w:val="ListParagraph"/>
        <w:numPr>
          <w:ilvl w:val="1"/>
          <w:numId w:val="6"/>
        </w:numPr>
        <w:ind w:left="709" w:hanging="709"/>
        <w:rPr>
          <w:rFonts w:ascii="Arial" w:hAnsi="Arial" w:cs="Arial"/>
          <w:sz w:val="24"/>
          <w:szCs w:val="24"/>
        </w:rPr>
      </w:pPr>
      <w:r w:rsidRPr="005E003D">
        <w:rPr>
          <w:rFonts w:ascii="Arial" w:hAnsi="Arial" w:cs="Arial"/>
          <w:sz w:val="24"/>
          <w:szCs w:val="24"/>
        </w:rPr>
        <w:t xml:space="preserve">The General Reserve is required to ensure that </w:t>
      </w:r>
      <w:r w:rsidR="005C2EBB" w:rsidRPr="005E003D">
        <w:rPr>
          <w:rFonts w:ascii="Arial" w:hAnsi="Arial" w:cs="Arial"/>
          <w:sz w:val="24"/>
          <w:szCs w:val="24"/>
        </w:rPr>
        <w:t xml:space="preserve">the </w:t>
      </w:r>
      <w:r w:rsidRPr="005E003D">
        <w:rPr>
          <w:rFonts w:ascii="Arial" w:hAnsi="Arial" w:cs="Arial"/>
          <w:sz w:val="24"/>
          <w:szCs w:val="24"/>
        </w:rPr>
        <w:t xml:space="preserve">PFCC is able to mitigate financial risks which can arise due to </w:t>
      </w:r>
      <w:r w:rsidR="00A10C86" w:rsidRPr="005E003D">
        <w:rPr>
          <w:rFonts w:ascii="Arial" w:hAnsi="Arial" w:cs="Arial"/>
          <w:sz w:val="24"/>
          <w:szCs w:val="24"/>
        </w:rPr>
        <w:t xml:space="preserve">unforeseen </w:t>
      </w:r>
      <w:r w:rsidRPr="005E003D">
        <w:rPr>
          <w:rFonts w:ascii="Arial" w:hAnsi="Arial" w:cs="Arial"/>
          <w:sz w:val="24"/>
          <w:szCs w:val="24"/>
        </w:rPr>
        <w:t>events e.g.</w:t>
      </w:r>
      <w:r w:rsidR="00A04D4D" w:rsidRPr="005E003D">
        <w:rPr>
          <w:rFonts w:ascii="Arial" w:hAnsi="Arial" w:cs="Arial"/>
          <w:sz w:val="24"/>
          <w:szCs w:val="24"/>
        </w:rPr>
        <w:t>,</w:t>
      </w:r>
      <w:r w:rsidRPr="005E003D">
        <w:rPr>
          <w:rFonts w:ascii="Arial" w:hAnsi="Arial" w:cs="Arial"/>
          <w:sz w:val="24"/>
          <w:szCs w:val="24"/>
        </w:rPr>
        <w:t xml:space="preserve"> </w:t>
      </w:r>
      <w:r w:rsidR="005E003D" w:rsidRPr="005E003D">
        <w:rPr>
          <w:rFonts w:ascii="Arial" w:hAnsi="Arial" w:cs="Arial"/>
          <w:sz w:val="24"/>
          <w:szCs w:val="24"/>
        </w:rPr>
        <w:t>significant c</w:t>
      </w:r>
      <w:r w:rsidRPr="005E003D">
        <w:rPr>
          <w:rFonts w:ascii="Arial" w:hAnsi="Arial" w:cs="Arial"/>
          <w:sz w:val="24"/>
          <w:szCs w:val="24"/>
        </w:rPr>
        <w:t>hanges in demand for policing</w:t>
      </w:r>
      <w:r w:rsidR="00716F2A" w:rsidRPr="005E003D">
        <w:rPr>
          <w:rFonts w:ascii="Arial" w:hAnsi="Arial" w:cs="Arial"/>
          <w:sz w:val="24"/>
          <w:szCs w:val="24"/>
        </w:rPr>
        <w:t xml:space="preserve">. </w:t>
      </w:r>
    </w:p>
    <w:p w14:paraId="52397448" w14:textId="77777777" w:rsidR="005E003D" w:rsidRPr="005E003D" w:rsidRDefault="005E003D" w:rsidP="00A74361">
      <w:pPr>
        <w:pStyle w:val="ListParagraph"/>
        <w:ind w:left="709"/>
        <w:rPr>
          <w:rFonts w:ascii="Arial" w:hAnsi="Arial" w:cs="Arial"/>
          <w:sz w:val="24"/>
          <w:szCs w:val="24"/>
        </w:rPr>
      </w:pPr>
    </w:p>
    <w:p w14:paraId="6A6B4809" w14:textId="4D08EDD8" w:rsidR="00CE18E8" w:rsidRPr="004B771E" w:rsidRDefault="00326626" w:rsidP="005F7B69">
      <w:pPr>
        <w:pStyle w:val="ListParagraph"/>
        <w:numPr>
          <w:ilvl w:val="1"/>
          <w:numId w:val="6"/>
        </w:numPr>
        <w:ind w:left="709" w:hanging="709"/>
        <w:rPr>
          <w:rFonts w:ascii="Arial" w:hAnsi="Arial" w:cs="Arial"/>
          <w:sz w:val="24"/>
          <w:szCs w:val="24"/>
        </w:rPr>
      </w:pPr>
      <w:r w:rsidRPr="004B771E">
        <w:rPr>
          <w:rFonts w:ascii="Arial" w:hAnsi="Arial" w:cs="Arial"/>
          <w:sz w:val="24"/>
          <w:szCs w:val="24"/>
        </w:rPr>
        <w:t xml:space="preserve">The PFCC </w:t>
      </w:r>
      <w:r w:rsidR="00ED1DC7" w:rsidRPr="004B771E">
        <w:rPr>
          <w:rFonts w:ascii="Arial" w:hAnsi="Arial" w:cs="Arial"/>
          <w:sz w:val="24"/>
          <w:szCs w:val="24"/>
        </w:rPr>
        <w:t>G</w:t>
      </w:r>
      <w:r w:rsidRPr="004B771E">
        <w:rPr>
          <w:rFonts w:ascii="Arial" w:hAnsi="Arial" w:cs="Arial"/>
          <w:sz w:val="24"/>
          <w:szCs w:val="24"/>
        </w:rPr>
        <w:t xml:space="preserve">eneral </w:t>
      </w:r>
      <w:r w:rsidR="00ED1DC7" w:rsidRPr="004B771E">
        <w:rPr>
          <w:rFonts w:ascii="Arial" w:hAnsi="Arial" w:cs="Arial"/>
          <w:sz w:val="24"/>
          <w:szCs w:val="24"/>
        </w:rPr>
        <w:t>R</w:t>
      </w:r>
      <w:r w:rsidRPr="004B771E">
        <w:rPr>
          <w:rFonts w:ascii="Arial" w:hAnsi="Arial" w:cs="Arial"/>
          <w:sz w:val="24"/>
          <w:szCs w:val="24"/>
        </w:rPr>
        <w:t>eserve</w:t>
      </w:r>
      <w:r w:rsidR="00A31FA9" w:rsidRPr="004B771E">
        <w:rPr>
          <w:rFonts w:ascii="Arial" w:hAnsi="Arial" w:cs="Arial"/>
          <w:sz w:val="24"/>
          <w:szCs w:val="24"/>
        </w:rPr>
        <w:t xml:space="preserve"> at 31 March </w:t>
      </w:r>
      <w:r w:rsidR="00A74608" w:rsidRPr="004B771E">
        <w:rPr>
          <w:rFonts w:ascii="Arial" w:hAnsi="Arial" w:cs="Arial"/>
          <w:sz w:val="24"/>
          <w:szCs w:val="24"/>
        </w:rPr>
        <w:t>202</w:t>
      </w:r>
      <w:r w:rsidR="00206611" w:rsidRPr="004B771E">
        <w:rPr>
          <w:rFonts w:ascii="Arial" w:hAnsi="Arial" w:cs="Arial"/>
          <w:sz w:val="24"/>
          <w:szCs w:val="24"/>
        </w:rPr>
        <w:t>4</w:t>
      </w:r>
      <w:r w:rsidR="00A74608" w:rsidRPr="004B771E">
        <w:rPr>
          <w:rFonts w:ascii="Arial" w:hAnsi="Arial" w:cs="Arial"/>
          <w:sz w:val="24"/>
          <w:szCs w:val="24"/>
        </w:rPr>
        <w:t xml:space="preserve"> </w:t>
      </w:r>
      <w:r w:rsidR="00C270AD">
        <w:rPr>
          <w:rFonts w:ascii="Arial" w:hAnsi="Arial" w:cs="Arial"/>
          <w:sz w:val="24"/>
          <w:szCs w:val="24"/>
        </w:rPr>
        <w:t>for the purpose of budget setting was planned</w:t>
      </w:r>
      <w:r w:rsidR="00A74608" w:rsidRPr="004B771E">
        <w:rPr>
          <w:rFonts w:ascii="Arial" w:hAnsi="Arial" w:cs="Arial"/>
          <w:sz w:val="24"/>
          <w:szCs w:val="24"/>
        </w:rPr>
        <w:t xml:space="preserve"> to be</w:t>
      </w:r>
      <w:r w:rsidR="00ED1DC7" w:rsidRPr="004B771E">
        <w:rPr>
          <w:rFonts w:ascii="Arial" w:hAnsi="Arial" w:cs="Arial"/>
          <w:sz w:val="24"/>
          <w:szCs w:val="24"/>
        </w:rPr>
        <w:t xml:space="preserve"> </w:t>
      </w:r>
      <w:r w:rsidR="00A31FA9" w:rsidRPr="004B771E">
        <w:rPr>
          <w:rFonts w:ascii="Arial" w:hAnsi="Arial" w:cs="Arial"/>
          <w:sz w:val="24"/>
          <w:szCs w:val="24"/>
        </w:rPr>
        <w:t>£</w:t>
      </w:r>
      <w:r w:rsidR="00CE18E8" w:rsidRPr="004B771E">
        <w:rPr>
          <w:rFonts w:ascii="Arial" w:hAnsi="Arial" w:cs="Arial"/>
          <w:sz w:val="24"/>
          <w:szCs w:val="24"/>
        </w:rPr>
        <w:t>10.</w:t>
      </w:r>
      <w:r w:rsidR="00A23B64">
        <w:rPr>
          <w:rFonts w:ascii="Arial" w:hAnsi="Arial" w:cs="Arial"/>
          <w:sz w:val="24"/>
          <w:szCs w:val="24"/>
        </w:rPr>
        <w:t>4</w:t>
      </w:r>
      <w:r w:rsidR="00A31FA9" w:rsidRPr="004B771E">
        <w:rPr>
          <w:rFonts w:ascii="Arial" w:hAnsi="Arial" w:cs="Arial"/>
          <w:sz w:val="24"/>
          <w:szCs w:val="24"/>
        </w:rPr>
        <w:t>m and</w:t>
      </w:r>
      <w:r w:rsidRPr="004B771E">
        <w:rPr>
          <w:rFonts w:ascii="Arial" w:hAnsi="Arial" w:cs="Arial"/>
          <w:sz w:val="24"/>
          <w:szCs w:val="24"/>
        </w:rPr>
        <w:t xml:space="preserve"> </w:t>
      </w:r>
      <w:r w:rsidR="00987327">
        <w:rPr>
          <w:rFonts w:ascii="Arial" w:hAnsi="Arial" w:cs="Arial"/>
          <w:sz w:val="24"/>
          <w:szCs w:val="24"/>
        </w:rPr>
        <w:t>2.9</w:t>
      </w:r>
      <w:r w:rsidR="006B6CBD" w:rsidRPr="004B771E">
        <w:rPr>
          <w:rFonts w:ascii="Arial" w:hAnsi="Arial" w:cs="Arial"/>
          <w:sz w:val="24"/>
          <w:szCs w:val="24"/>
        </w:rPr>
        <w:t>%</w:t>
      </w:r>
      <w:r w:rsidR="000E21A2" w:rsidRPr="004B771E">
        <w:rPr>
          <w:rFonts w:ascii="Arial" w:hAnsi="Arial" w:cs="Arial"/>
          <w:sz w:val="24"/>
          <w:szCs w:val="24"/>
        </w:rPr>
        <w:t xml:space="preserve"> of net revenue expenditure</w:t>
      </w:r>
      <w:r w:rsidR="007F7B53" w:rsidRPr="004B771E">
        <w:rPr>
          <w:rFonts w:ascii="Arial" w:hAnsi="Arial" w:cs="Arial"/>
          <w:sz w:val="24"/>
          <w:szCs w:val="24"/>
        </w:rPr>
        <w:t xml:space="preserve"> (NRE)</w:t>
      </w:r>
      <w:r w:rsidR="00CE18E8" w:rsidRPr="004B771E">
        <w:rPr>
          <w:rFonts w:ascii="Arial" w:hAnsi="Arial" w:cs="Arial"/>
          <w:sz w:val="24"/>
          <w:szCs w:val="24"/>
        </w:rPr>
        <w:t>.</w:t>
      </w:r>
      <w:r w:rsidR="000E21A2" w:rsidRPr="004B771E">
        <w:rPr>
          <w:rFonts w:ascii="Arial" w:hAnsi="Arial" w:cs="Arial"/>
          <w:sz w:val="24"/>
          <w:szCs w:val="24"/>
        </w:rPr>
        <w:t xml:space="preserve"> </w:t>
      </w:r>
      <w:r w:rsidR="00CE18E8" w:rsidRPr="004B771E">
        <w:rPr>
          <w:rFonts w:ascii="Arial" w:hAnsi="Arial" w:cs="Arial"/>
          <w:sz w:val="24"/>
          <w:szCs w:val="24"/>
        </w:rPr>
        <w:t>A</w:t>
      </w:r>
      <w:r w:rsidR="000E21A2" w:rsidRPr="004B771E">
        <w:rPr>
          <w:rFonts w:ascii="Arial" w:hAnsi="Arial" w:cs="Arial"/>
          <w:sz w:val="24"/>
          <w:szCs w:val="24"/>
        </w:rPr>
        <w:t xml:space="preserve">t budget setting </w:t>
      </w:r>
      <w:r w:rsidR="006D125F" w:rsidRPr="004B771E">
        <w:rPr>
          <w:rFonts w:ascii="Arial" w:hAnsi="Arial" w:cs="Arial"/>
          <w:sz w:val="24"/>
          <w:szCs w:val="24"/>
        </w:rPr>
        <w:t>in January 20</w:t>
      </w:r>
      <w:r w:rsidR="00B04EBC" w:rsidRPr="004B771E">
        <w:rPr>
          <w:rFonts w:ascii="Arial" w:hAnsi="Arial" w:cs="Arial"/>
          <w:sz w:val="24"/>
          <w:szCs w:val="24"/>
        </w:rPr>
        <w:t>2</w:t>
      </w:r>
      <w:r w:rsidR="00087F4C">
        <w:rPr>
          <w:rFonts w:ascii="Arial" w:hAnsi="Arial" w:cs="Arial"/>
          <w:sz w:val="24"/>
          <w:szCs w:val="24"/>
        </w:rPr>
        <w:t>4</w:t>
      </w:r>
      <w:r w:rsidR="006D125F" w:rsidRPr="004B771E">
        <w:rPr>
          <w:rFonts w:ascii="Arial" w:hAnsi="Arial" w:cs="Arial"/>
          <w:sz w:val="24"/>
          <w:szCs w:val="24"/>
        </w:rPr>
        <w:t xml:space="preserve"> </w:t>
      </w:r>
      <w:r w:rsidR="00D161C7" w:rsidRPr="004B771E">
        <w:rPr>
          <w:rFonts w:ascii="Arial" w:hAnsi="Arial" w:cs="Arial"/>
          <w:sz w:val="24"/>
          <w:szCs w:val="24"/>
        </w:rPr>
        <w:t>the P</w:t>
      </w:r>
      <w:r w:rsidR="0059593C" w:rsidRPr="004B771E">
        <w:rPr>
          <w:rFonts w:ascii="Arial" w:hAnsi="Arial" w:cs="Arial"/>
          <w:sz w:val="24"/>
          <w:szCs w:val="24"/>
        </w:rPr>
        <w:t>FCC</w:t>
      </w:r>
      <w:r w:rsidR="00BF4AF0" w:rsidRPr="004B771E">
        <w:rPr>
          <w:rFonts w:ascii="Arial" w:hAnsi="Arial" w:cs="Arial"/>
          <w:sz w:val="24"/>
          <w:szCs w:val="24"/>
        </w:rPr>
        <w:t xml:space="preserve">’s agreed budget outlined plans </w:t>
      </w:r>
      <w:r w:rsidR="006D125F" w:rsidRPr="004B771E">
        <w:rPr>
          <w:rFonts w:ascii="Arial" w:hAnsi="Arial" w:cs="Arial"/>
          <w:sz w:val="24"/>
          <w:szCs w:val="24"/>
        </w:rPr>
        <w:t>t</w:t>
      </w:r>
      <w:r w:rsidR="0059593C" w:rsidRPr="004B771E">
        <w:rPr>
          <w:rFonts w:ascii="Arial" w:hAnsi="Arial" w:cs="Arial"/>
          <w:sz w:val="24"/>
          <w:szCs w:val="24"/>
        </w:rPr>
        <w:t xml:space="preserve">o </w:t>
      </w:r>
      <w:r w:rsidR="00CE18E8" w:rsidRPr="004B771E">
        <w:rPr>
          <w:rFonts w:ascii="Arial" w:hAnsi="Arial" w:cs="Arial"/>
          <w:sz w:val="24"/>
          <w:szCs w:val="24"/>
        </w:rPr>
        <w:t xml:space="preserve">increase </w:t>
      </w:r>
      <w:r w:rsidR="00BF4AF0" w:rsidRPr="004B771E">
        <w:rPr>
          <w:rFonts w:ascii="Arial" w:hAnsi="Arial" w:cs="Arial"/>
          <w:sz w:val="24"/>
          <w:szCs w:val="24"/>
        </w:rPr>
        <w:t>General Reserve</w:t>
      </w:r>
      <w:r w:rsidR="00CE18E8" w:rsidRPr="004B771E">
        <w:rPr>
          <w:rFonts w:ascii="Arial" w:hAnsi="Arial" w:cs="Arial"/>
          <w:sz w:val="24"/>
          <w:szCs w:val="24"/>
        </w:rPr>
        <w:t xml:space="preserve">s by </w:t>
      </w:r>
      <w:r w:rsidR="00CE18E8" w:rsidRPr="00987327">
        <w:rPr>
          <w:rFonts w:ascii="Arial" w:hAnsi="Arial" w:cs="Arial"/>
          <w:sz w:val="24"/>
          <w:szCs w:val="24"/>
        </w:rPr>
        <w:lastRenderedPageBreak/>
        <w:t>£0.</w:t>
      </w:r>
      <w:r w:rsidR="00987327" w:rsidRPr="005F7B69">
        <w:rPr>
          <w:rFonts w:ascii="Arial" w:hAnsi="Arial" w:cs="Arial"/>
          <w:sz w:val="24"/>
          <w:szCs w:val="24"/>
        </w:rPr>
        <w:t>850</w:t>
      </w:r>
      <w:r w:rsidR="00CE18E8" w:rsidRPr="00987327">
        <w:rPr>
          <w:rFonts w:ascii="Arial" w:hAnsi="Arial" w:cs="Arial"/>
          <w:sz w:val="24"/>
          <w:szCs w:val="24"/>
        </w:rPr>
        <w:t>m</w:t>
      </w:r>
      <w:r w:rsidR="00D161C7" w:rsidRPr="00987327">
        <w:rPr>
          <w:rFonts w:ascii="Arial" w:hAnsi="Arial" w:cs="Arial"/>
          <w:sz w:val="24"/>
          <w:szCs w:val="24"/>
        </w:rPr>
        <w:t xml:space="preserve"> during</w:t>
      </w:r>
      <w:r w:rsidR="00D161C7" w:rsidRPr="004B771E">
        <w:rPr>
          <w:rFonts w:ascii="Arial" w:hAnsi="Arial" w:cs="Arial"/>
          <w:sz w:val="24"/>
          <w:szCs w:val="24"/>
        </w:rPr>
        <w:t xml:space="preserve"> the 20</w:t>
      </w:r>
      <w:r w:rsidR="00B04EBC" w:rsidRPr="004B771E">
        <w:rPr>
          <w:rFonts w:ascii="Arial" w:hAnsi="Arial" w:cs="Arial"/>
          <w:sz w:val="24"/>
          <w:szCs w:val="24"/>
        </w:rPr>
        <w:t>2</w:t>
      </w:r>
      <w:r w:rsidR="007A1C09" w:rsidRPr="004B771E">
        <w:rPr>
          <w:rFonts w:ascii="Arial" w:hAnsi="Arial" w:cs="Arial"/>
          <w:sz w:val="24"/>
          <w:szCs w:val="24"/>
        </w:rPr>
        <w:t>4</w:t>
      </w:r>
      <w:r w:rsidR="00B04EBC" w:rsidRPr="004B771E">
        <w:rPr>
          <w:rFonts w:ascii="Arial" w:hAnsi="Arial" w:cs="Arial"/>
          <w:sz w:val="24"/>
          <w:szCs w:val="24"/>
        </w:rPr>
        <w:t>/2</w:t>
      </w:r>
      <w:r w:rsidR="007A1C09" w:rsidRPr="004B771E">
        <w:rPr>
          <w:rFonts w:ascii="Arial" w:hAnsi="Arial" w:cs="Arial"/>
          <w:sz w:val="24"/>
          <w:szCs w:val="24"/>
        </w:rPr>
        <w:t>5</w:t>
      </w:r>
      <w:r w:rsidR="00D161C7" w:rsidRPr="004B771E">
        <w:rPr>
          <w:rFonts w:ascii="Arial" w:hAnsi="Arial" w:cs="Arial"/>
          <w:sz w:val="24"/>
          <w:szCs w:val="24"/>
        </w:rPr>
        <w:t xml:space="preserve"> financial year</w:t>
      </w:r>
      <w:r w:rsidR="00BF4AF0" w:rsidRPr="004B771E">
        <w:rPr>
          <w:rFonts w:ascii="Arial" w:hAnsi="Arial" w:cs="Arial"/>
          <w:sz w:val="24"/>
          <w:szCs w:val="24"/>
        </w:rPr>
        <w:t xml:space="preserve">. </w:t>
      </w:r>
      <w:r w:rsidR="004B771E">
        <w:rPr>
          <w:rFonts w:ascii="Arial" w:hAnsi="Arial" w:cs="Arial"/>
          <w:sz w:val="24"/>
          <w:szCs w:val="24"/>
        </w:rPr>
        <w:br/>
      </w:r>
    </w:p>
    <w:p w14:paraId="01552E8F" w14:textId="39BE4295" w:rsidR="001B43EB" w:rsidRPr="00ED1DC7" w:rsidRDefault="00582062" w:rsidP="00A74361">
      <w:pPr>
        <w:pStyle w:val="ListParagraph"/>
        <w:numPr>
          <w:ilvl w:val="1"/>
          <w:numId w:val="6"/>
        </w:numPr>
        <w:ind w:left="709" w:hanging="709"/>
        <w:rPr>
          <w:rFonts w:ascii="Arial" w:hAnsi="Arial" w:cs="Arial"/>
          <w:sz w:val="24"/>
          <w:szCs w:val="24"/>
        </w:rPr>
      </w:pPr>
      <w:r w:rsidRPr="00ED1DC7">
        <w:rPr>
          <w:rFonts w:ascii="Arial" w:hAnsi="Arial" w:cs="Arial"/>
          <w:sz w:val="24"/>
          <w:szCs w:val="24"/>
        </w:rPr>
        <w:t xml:space="preserve">The General Reserve is forecast to </w:t>
      </w:r>
      <w:r w:rsidR="00B04EBC" w:rsidRPr="009F54BF">
        <w:rPr>
          <w:rFonts w:ascii="Arial" w:hAnsi="Arial" w:cs="Arial"/>
          <w:sz w:val="24"/>
          <w:szCs w:val="24"/>
        </w:rPr>
        <w:t>be</w:t>
      </w:r>
      <w:r w:rsidRPr="009F54BF">
        <w:rPr>
          <w:rFonts w:ascii="Arial" w:hAnsi="Arial" w:cs="Arial"/>
          <w:sz w:val="24"/>
          <w:szCs w:val="24"/>
        </w:rPr>
        <w:t xml:space="preserve"> £</w:t>
      </w:r>
      <w:r w:rsidR="00CE18E8" w:rsidRPr="009F54BF">
        <w:rPr>
          <w:rFonts w:ascii="Arial" w:hAnsi="Arial" w:cs="Arial"/>
          <w:sz w:val="24"/>
          <w:szCs w:val="24"/>
        </w:rPr>
        <w:t>11.3</w:t>
      </w:r>
      <w:r w:rsidRPr="009F54BF">
        <w:rPr>
          <w:rFonts w:ascii="Arial" w:hAnsi="Arial" w:cs="Arial"/>
          <w:sz w:val="24"/>
          <w:szCs w:val="24"/>
        </w:rPr>
        <w:t>m and</w:t>
      </w:r>
      <w:r w:rsidRPr="00ED1DC7">
        <w:rPr>
          <w:rFonts w:ascii="Arial" w:hAnsi="Arial" w:cs="Arial"/>
          <w:sz w:val="24"/>
          <w:szCs w:val="24"/>
        </w:rPr>
        <w:t xml:space="preserve"> </w:t>
      </w:r>
      <w:r w:rsidR="00CE18E8">
        <w:rPr>
          <w:rFonts w:ascii="Arial" w:hAnsi="Arial" w:cs="Arial"/>
          <w:sz w:val="24"/>
          <w:szCs w:val="24"/>
        </w:rPr>
        <w:t>2.9</w:t>
      </w:r>
      <w:r w:rsidRPr="00ED1DC7">
        <w:rPr>
          <w:rFonts w:ascii="Arial" w:hAnsi="Arial" w:cs="Arial"/>
          <w:sz w:val="24"/>
          <w:szCs w:val="24"/>
        </w:rPr>
        <w:t>% of net revenue expenditure at 31 March 202</w:t>
      </w:r>
      <w:r w:rsidR="00206611">
        <w:rPr>
          <w:rFonts w:ascii="Arial" w:hAnsi="Arial" w:cs="Arial"/>
          <w:sz w:val="24"/>
          <w:szCs w:val="24"/>
        </w:rPr>
        <w:t>5</w:t>
      </w:r>
      <w:r w:rsidR="005E003D">
        <w:rPr>
          <w:rFonts w:ascii="Arial" w:hAnsi="Arial" w:cs="Arial"/>
          <w:sz w:val="24"/>
          <w:szCs w:val="24"/>
        </w:rPr>
        <w:t>.</w:t>
      </w:r>
    </w:p>
    <w:p w14:paraId="076DEC29" w14:textId="77777777" w:rsidR="001B43EB" w:rsidRPr="00BE10CC" w:rsidRDefault="001B43EB" w:rsidP="00A74361">
      <w:pPr>
        <w:pStyle w:val="ListParagraph"/>
        <w:ind w:left="709"/>
        <w:rPr>
          <w:rFonts w:ascii="Arial" w:hAnsi="Arial" w:cs="Arial"/>
          <w:sz w:val="24"/>
          <w:szCs w:val="24"/>
        </w:rPr>
      </w:pPr>
    </w:p>
    <w:p w14:paraId="272E869F" w14:textId="71F59A11" w:rsidR="008C417D" w:rsidRDefault="00240740" w:rsidP="00A74361">
      <w:pPr>
        <w:pStyle w:val="ListParagraph"/>
        <w:numPr>
          <w:ilvl w:val="1"/>
          <w:numId w:val="6"/>
        </w:numPr>
        <w:ind w:left="709" w:hanging="709"/>
        <w:rPr>
          <w:rFonts w:ascii="Arial" w:hAnsi="Arial" w:cs="Arial"/>
          <w:sz w:val="24"/>
          <w:szCs w:val="24"/>
        </w:rPr>
      </w:pPr>
      <w:r w:rsidRPr="008C417D">
        <w:rPr>
          <w:rFonts w:ascii="Arial" w:hAnsi="Arial" w:cs="Arial"/>
          <w:sz w:val="24"/>
          <w:szCs w:val="24"/>
        </w:rPr>
        <w:t xml:space="preserve">It is </w:t>
      </w:r>
      <w:r w:rsidR="005B58B1">
        <w:rPr>
          <w:rFonts w:ascii="Arial" w:hAnsi="Arial" w:cs="Arial"/>
          <w:sz w:val="24"/>
          <w:szCs w:val="24"/>
        </w:rPr>
        <w:t xml:space="preserve">then </w:t>
      </w:r>
      <w:r w:rsidRPr="008C417D">
        <w:rPr>
          <w:rFonts w:ascii="Arial" w:hAnsi="Arial" w:cs="Arial"/>
          <w:sz w:val="24"/>
          <w:szCs w:val="24"/>
        </w:rPr>
        <w:t xml:space="preserve">planned to </w:t>
      </w:r>
      <w:r w:rsidR="005B58B1">
        <w:rPr>
          <w:rFonts w:ascii="Arial" w:hAnsi="Arial" w:cs="Arial"/>
          <w:sz w:val="24"/>
          <w:szCs w:val="24"/>
        </w:rPr>
        <w:t xml:space="preserve">increase </w:t>
      </w:r>
      <w:r w:rsidR="0059593C" w:rsidRPr="008C417D">
        <w:rPr>
          <w:rFonts w:ascii="Arial" w:hAnsi="Arial" w:cs="Arial"/>
          <w:sz w:val="24"/>
          <w:szCs w:val="24"/>
        </w:rPr>
        <w:t xml:space="preserve">the </w:t>
      </w:r>
      <w:r w:rsidRPr="008C417D">
        <w:rPr>
          <w:rFonts w:ascii="Arial" w:hAnsi="Arial" w:cs="Arial"/>
          <w:sz w:val="24"/>
          <w:szCs w:val="24"/>
        </w:rPr>
        <w:t xml:space="preserve">level of </w:t>
      </w:r>
      <w:r w:rsidR="0059593C" w:rsidRPr="008C417D">
        <w:rPr>
          <w:rFonts w:ascii="Arial" w:hAnsi="Arial" w:cs="Arial"/>
          <w:sz w:val="24"/>
          <w:szCs w:val="24"/>
        </w:rPr>
        <w:t xml:space="preserve">General Reserve </w:t>
      </w:r>
      <w:r w:rsidR="005B58B1">
        <w:rPr>
          <w:rFonts w:ascii="Arial" w:hAnsi="Arial" w:cs="Arial"/>
          <w:sz w:val="24"/>
          <w:szCs w:val="24"/>
        </w:rPr>
        <w:t>to</w:t>
      </w:r>
      <w:r w:rsidR="0059593C" w:rsidRPr="008C417D">
        <w:rPr>
          <w:rFonts w:ascii="Arial" w:hAnsi="Arial" w:cs="Arial"/>
          <w:sz w:val="24"/>
          <w:szCs w:val="24"/>
        </w:rPr>
        <w:t xml:space="preserve"> 3%</w:t>
      </w:r>
      <w:r w:rsidR="008D2550" w:rsidRPr="008C417D">
        <w:rPr>
          <w:rFonts w:ascii="Arial" w:hAnsi="Arial" w:cs="Arial"/>
          <w:sz w:val="24"/>
          <w:szCs w:val="24"/>
        </w:rPr>
        <w:t xml:space="preserve"> of net revenue expenditure</w:t>
      </w:r>
      <w:r w:rsidR="00FE6252">
        <w:rPr>
          <w:rFonts w:ascii="Arial" w:hAnsi="Arial" w:cs="Arial"/>
          <w:sz w:val="24"/>
          <w:szCs w:val="24"/>
        </w:rPr>
        <w:t xml:space="preserve"> </w:t>
      </w:r>
      <w:r w:rsidR="005C2EBB">
        <w:rPr>
          <w:rFonts w:ascii="Arial" w:hAnsi="Arial" w:cs="Arial"/>
          <w:sz w:val="24"/>
          <w:szCs w:val="24"/>
        </w:rPr>
        <w:t xml:space="preserve">for each </w:t>
      </w:r>
      <w:r w:rsidR="005B58B1">
        <w:rPr>
          <w:rFonts w:ascii="Arial" w:hAnsi="Arial" w:cs="Arial"/>
          <w:sz w:val="24"/>
          <w:szCs w:val="24"/>
        </w:rPr>
        <w:t xml:space="preserve">following </w:t>
      </w:r>
      <w:r w:rsidR="005C2EBB">
        <w:rPr>
          <w:rFonts w:ascii="Arial" w:hAnsi="Arial" w:cs="Arial"/>
          <w:sz w:val="24"/>
          <w:szCs w:val="24"/>
        </w:rPr>
        <w:t xml:space="preserve">year of the </w:t>
      </w:r>
      <w:r w:rsidR="007F7B53">
        <w:rPr>
          <w:rFonts w:ascii="Arial" w:hAnsi="Arial" w:cs="Arial"/>
          <w:sz w:val="24"/>
          <w:szCs w:val="24"/>
        </w:rPr>
        <w:t>202</w:t>
      </w:r>
      <w:r w:rsidR="00D3145F">
        <w:rPr>
          <w:rFonts w:ascii="Arial" w:hAnsi="Arial" w:cs="Arial"/>
          <w:sz w:val="24"/>
          <w:szCs w:val="24"/>
        </w:rPr>
        <w:t>4</w:t>
      </w:r>
      <w:r w:rsidR="007F7B53">
        <w:rPr>
          <w:rFonts w:ascii="Arial" w:hAnsi="Arial" w:cs="Arial"/>
          <w:sz w:val="24"/>
          <w:szCs w:val="24"/>
        </w:rPr>
        <w:t>/2</w:t>
      </w:r>
      <w:r w:rsidR="00D3145F">
        <w:rPr>
          <w:rFonts w:ascii="Arial" w:hAnsi="Arial" w:cs="Arial"/>
          <w:sz w:val="24"/>
          <w:szCs w:val="24"/>
        </w:rPr>
        <w:t>5</w:t>
      </w:r>
      <w:r w:rsidR="007F7B53">
        <w:rPr>
          <w:rFonts w:ascii="Arial" w:hAnsi="Arial" w:cs="Arial"/>
          <w:sz w:val="24"/>
          <w:szCs w:val="24"/>
        </w:rPr>
        <w:t xml:space="preserve"> to 20</w:t>
      </w:r>
      <w:r w:rsidR="007754F0">
        <w:rPr>
          <w:rFonts w:ascii="Arial" w:hAnsi="Arial" w:cs="Arial"/>
          <w:sz w:val="24"/>
          <w:szCs w:val="24"/>
        </w:rPr>
        <w:t>2</w:t>
      </w:r>
      <w:r w:rsidR="00D3145F">
        <w:rPr>
          <w:rFonts w:ascii="Arial" w:hAnsi="Arial" w:cs="Arial"/>
          <w:sz w:val="24"/>
          <w:szCs w:val="24"/>
        </w:rPr>
        <w:t>8</w:t>
      </w:r>
      <w:r w:rsidR="007F7B53">
        <w:rPr>
          <w:rFonts w:ascii="Arial" w:hAnsi="Arial" w:cs="Arial"/>
          <w:sz w:val="24"/>
          <w:szCs w:val="24"/>
        </w:rPr>
        <w:t>/2</w:t>
      </w:r>
      <w:r w:rsidR="00D3145F">
        <w:rPr>
          <w:rFonts w:ascii="Arial" w:hAnsi="Arial" w:cs="Arial"/>
          <w:sz w:val="24"/>
          <w:szCs w:val="24"/>
        </w:rPr>
        <w:t>9</w:t>
      </w:r>
      <w:r w:rsidR="007F7B53">
        <w:rPr>
          <w:rFonts w:ascii="Arial" w:hAnsi="Arial" w:cs="Arial"/>
          <w:sz w:val="24"/>
          <w:szCs w:val="24"/>
        </w:rPr>
        <w:t xml:space="preserve"> </w:t>
      </w:r>
      <w:r w:rsidR="005C2EBB">
        <w:rPr>
          <w:rFonts w:ascii="Arial" w:hAnsi="Arial" w:cs="Arial"/>
          <w:sz w:val="24"/>
          <w:szCs w:val="24"/>
        </w:rPr>
        <w:t xml:space="preserve">Medium Term Financial Strategy </w:t>
      </w:r>
      <w:r w:rsidR="007F7B53">
        <w:rPr>
          <w:rFonts w:ascii="Arial" w:hAnsi="Arial" w:cs="Arial"/>
          <w:sz w:val="24"/>
          <w:szCs w:val="24"/>
        </w:rPr>
        <w:t>(</w:t>
      </w:r>
      <w:r w:rsidR="005C2EBB">
        <w:rPr>
          <w:rFonts w:ascii="Arial" w:hAnsi="Arial" w:cs="Arial"/>
          <w:sz w:val="24"/>
          <w:szCs w:val="24"/>
        </w:rPr>
        <w:t>202</w:t>
      </w:r>
      <w:r w:rsidR="00D3145F">
        <w:rPr>
          <w:rFonts w:ascii="Arial" w:hAnsi="Arial" w:cs="Arial"/>
          <w:sz w:val="24"/>
          <w:szCs w:val="24"/>
        </w:rPr>
        <w:t>5</w:t>
      </w:r>
      <w:r w:rsidR="005C2EBB">
        <w:rPr>
          <w:rFonts w:ascii="Arial" w:hAnsi="Arial" w:cs="Arial"/>
          <w:sz w:val="24"/>
          <w:szCs w:val="24"/>
        </w:rPr>
        <w:t>/2</w:t>
      </w:r>
      <w:r w:rsidR="00D3145F">
        <w:rPr>
          <w:rFonts w:ascii="Arial" w:hAnsi="Arial" w:cs="Arial"/>
          <w:sz w:val="24"/>
          <w:szCs w:val="24"/>
        </w:rPr>
        <w:t>6</w:t>
      </w:r>
      <w:r w:rsidR="005C2EBB">
        <w:rPr>
          <w:rFonts w:ascii="Arial" w:hAnsi="Arial" w:cs="Arial"/>
          <w:sz w:val="24"/>
          <w:szCs w:val="24"/>
        </w:rPr>
        <w:t xml:space="preserve"> to 202</w:t>
      </w:r>
      <w:r w:rsidR="00D3145F">
        <w:rPr>
          <w:rFonts w:ascii="Arial" w:hAnsi="Arial" w:cs="Arial"/>
          <w:sz w:val="24"/>
          <w:szCs w:val="24"/>
        </w:rPr>
        <w:t>8</w:t>
      </w:r>
      <w:r w:rsidR="005C2EBB">
        <w:rPr>
          <w:rFonts w:ascii="Arial" w:hAnsi="Arial" w:cs="Arial"/>
          <w:sz w:val="24"/>
          <w:szCs w:val="24"/>
        </w:rPr>
        <w:t>/2</w:t>
      </w:r>
      <w:r w:rsidR="00D3145F">
        <w:rPr>
          <w:rFonts w:ascii="Arial" w:hAnsi="Arial" w:cs="Arial"/>
          <w:sz w:val="24"/>
          <w:szCs w:val="24"/>
        </w:rPr>
        <w:t>9</w:t>
      </w:r>
      <w:r w:rsidR="007F7B53">
        <w:rPr>
          <w:rFonts w:ascii="Arial" w:hAnsi="Arial" w:cs="Arial"/>
          <w:sz w:val="24"/>
          <w:szCs w:val="24"/>
        </w:rPr>
        <w:t>)</w:t>
      </w:r>
      <w:r w:rsidR="008C417D" w:rsidRPr="008C417D">
        <w:rPr>
          <w:rFonts w:ascii="Arial" w:hAnsi="Arial" w:cs="Arial"/>
          <w:sz w:val="24"/>
          <w:szCs w:val="24"/>
        </w:rPr>
        <w:t xml:space="preserve">. </w:t>
      </w:r>
    </w:p>
    <w:p w14:paraId="0F5AD78B" w14:textId="77777777" w:rsidR="008C417D" w:rsidRPr="008C417D" w:rsidRDefault="008C417D" w:rsidP="00A74361">
      <w:pPr>
        <w:pStyle w:val="ListParagraph"/>
        <w:ind w:left="709"/>
        <w:rPr>
          <w:rFonts w:ascii="Arial" w:hAnsi="Arial" w:cs="Arial"/>
          <w:sz w:val="24"/>
          <w:szCs w:val="24"/>
        </w:rPr>
      </w:pPr>
    </w:p>
    <w:p w14:paraId="3A227679" w14:textId="2CA7AEAB" w:rsidR="00FE6252" w:rsidRDefault="00315A0D" w:rsidP="00A74361">
      <w:pPr>
        <w:pStyle w:val="ListParagraph"/>
        <w:numPr>
          <w:ilvl w:val="1"/>
          <w:numId w:val="6"/>
        </w:numPr>
        <w:ind w:left="709" w:hanging="709"/>
        <w:rPr>
          <w:rFonts w:ascii="Arial" w:hAnsi="Arial" w:cs="Arial"/>
          <w:sz w:val="24"/>
          <w:szCs w:val="24"/>
        </w:rPr>
      </w:pPr>
      <w:r w:rsidRPr="005B58B1">
        <w:rPr>
          <w:rFonts w:ascii="Arial" w:hAnsi="Arial" w:cs="Arial"/>
          <w:sz w:val="24"/>
          <w:szCs w:val="24"/>
        </w:rPr>
        <w:t>The Home Office Special Grant scheme requires that the PFCC should fund the first 1% of net revenue expenditure for each incident before a claim for financial assistance</w:t>
      </w:r>
      <w:r w:rsidR="009F780B">
        <w:rPr>
          <w:rFonts w:ascii="Arial" w:hAnsi="Arial" w:cs="Arial"/>
          <w:sz w:val="24"/>
          <w:szCs w:val="24"/>
        </w:rPr>
        <w:t xml:space="preserve"> (</w:t>
      </w:r>
      <w:r w:rsidR="007E4186">
        <w:rPr>
          <w:rFonts w:ascii="Arial" w:hAnsi="Arial" w:cs="Arial"/>
          <w:sz w:val="24"/>
          <w:szCs w:val="24"/>
        </w:rPr>
        <w:t xml:space="preserve">which would be </w:t>
      </w:r>
      <w:r w:rsidR="009F780B">
        <w:rPr>
          <w:rFonts w:ascii="Arial" w:hAnsi="Arial" w:cs="Arial"/>
          <w:sz w:val="24"/>
          <w:szCs w:val="24"/>
        </w:rPr>
        <w:t>£</w:t>
      </w:r>
      <w:r w:rsidR="006B6CBD">
        <w:rPr>
          <w:rFonts w:ascii="Arial" w:hAnsi="Arial" w:cs="Arial"/>
          <w:sz w:val="24"/>
          <w:szCs w:val="24"/>
        </w:rPr>
        <w:t>3.6</w:t>
      </w:r>
      <w:r w:rsidR="009F780B">
        <w:rPr>
          <w:rFonts w:ascii="Arial" w:hAnsi="Arial" w:cs="Arial"/>
          <w:sz w:val="24"/>
          <w:szCs w:val="24"/>
        </w:rPr>
        <w:t xml:space="preserve">m in </w:t>
      </w:r>
      <w:r w:rsidR="00F56259">
        <w:rPr>
          <w:rFonts w:ascii="Arial" w:hAnsi="Arial" w:cs="Arial"/>
          <w:sz w:val="24"/>
          <w:szCs w:val="24"/>
        </w:rPr>
        <w:t>202</w:t>
      </w:r>
      <w:r w:rsidR="006B6CBD">
        <w:rPr>
          <w:rFonts w:ascii="Arial" w:hAnsi="Arial" w:cs="Arial"/>
          <w:sz w:val="24"/>
          <w:szCs w:val="24"/>
        </w:rPr>
        <w:t>4</w:t>
      </w:r>
      <w:r w:rsidR="00F56259">
        <w:rPr>
          <w:rFonts w:ascii="Arial" w:hAnsi="Arial" w:cs="Arial"/>
          <w:sz w:val="24"/>
          <w:szCs w:val="24"/>
        </w:rPr>
        <w:t>/2</w:t>
      </w:r>
      <w:r w:rsidR="006B6CBD">
        <w:rPr>
          <w:rFonts w:ascii="Arial" w:hAnsi="Arial" w:cs="Arial"/>
          <w:sz w:val="24"/>
          <w:szCs w:val="24"/>
        </w:rPr>
        <w:t>5</w:t>
      </w:r>
      <w:r w:rsidR="00F56259">
        <w:rPr>
          <w:rFonts w:ascii="Arial" w:hAnsi="Arial" w:cs="Arial"/>
          <w:sz w:val="24"/>
          <w:szCs w:val="24"/>
        </w:rPr>
        <w:t>)</w:t>
      </w:r>
      <w:r w:rsidRPr="005B58B1">
        <w:rPr>
          <w:rFonts w:ascii="Arial" w:hAnsi="Arial" w:cs="Arial"/>
          <w:sz w:val="24"/>
          <w:szCs w:val="24"/>
        </w:rPr>
        <w:t xml:space="preserve">. </w:t>
      </w:r>
    </w:p>
    <w:p w14:paraId="7413D4D2" w14:textId="77777777" w:rsidR="00FE6252" w:rsidRPr="00FE6252" w:rsidRDefault="00FE6252" w:rsidP="00A74361">
      <w:pPr>
        <w:pStyle w:val="ListParagraph"/>
        <w:ind w:left="709"/>
        <w:rPr>
          <w:rFonts w:ascii="Arial" w:hAnsi="Arial" w:cs="Arial"/>
          <w:sz w:val="24"/>
          <w:szCs w:val="24"/>
        </w:rPr>
      </w:pPr>
    </w:p>
    <w:p w14:paraId="570B3EB8" w14:textId="09738EAF" w:rsidR="00FE6252" w:rsidRPr="009F54BF" w:rsidRDefault="00FE6252" w:rsidP="00A74361">
      <w:pPr>
        <w:pStyle w:val="ListParagraph"/>
        <w:numPr>
          <w:ilvl w:val="1"/>
          <w:numId w:val="6"/>
        </w:numPr>
        <w:ind w:left="709" w:hanging="709"/>
        <w:rPr>
          <w:rFonts w:ascii="Arial" w:hAnsi="Arial" w:cs="Arial"/>
          <w:sz w:val="24"/>
          <w:szCs w:val="24"/>
        </w:rPr>
      </w:pPr>
      <w:r w:rsidRPr="00E91F68">
        <w:rPr>
          <w:rFonts w:ascii="Arial" w:hAnsi="Arial" w:cs="Arial"/>
          <w:sz w:val="24"/>
          <w:szCs w:val="24"/>
        </w:rPr>
        <w:t xml:space="preserve">In </w:t>
      </w:r>
      <w:r w:rsidR="005C2EBB" w:rsidRPr="00E91F68">
        <w:rPr>
          <w:rFonts w:ascii="Arial" w:hAnsi="Arial" w:cs="Arial"/>
          <w:sz w:val="24"/>
          <w:szCs w:val="24"/>
        </w:rPr>
        <w:t>202</w:t>
      </w:r>
      <w:r w:rsidR="00162DCD">
        <w:rPr>
          <w:rFonts w:ascii="Arial" w:hAnsi="Arial" w:cs="Arial"/>
          <w:sz w:val="24"/>
          <w:szCs w:val="24"/>
        </w:rPr>
        <w:t>4</w:t>
      </w:r>
      <w:r w:rsidR="005C2EBB" w:rsidRPr="00E91F68">
        <w:rPr>
          <w:rFonts w:ascii="Arial" w:hAnsi="Arial" w:cs="Arial"/>
          <w:sz w:val="24"/>
          <w:szCs w:val="24"/>
        </w:rPr>
        <w:t>/2</w:t>
      </w:r>
      <w:r w:rsidR="00162DCD">
        <w:rPr>
          <w:rFonts w:ascii="Arial" w:hAnsi="Arial" w:cs="Arial"/>
          <w:sz w:val="24"/>
          <w:szCs w:val="24"/>
        </w:rPr>
        <w:t>5</w:t>
      </w:r>
      <w:r w:rsidR="005C2EBB" w:rsidRPr="00E91F68">
        <w:rPr>
          <w:rFonts w:ascii="Arial" w:hAnsi="Arial" w:cs="Arial"/>
          <w:sz w:val="24"/>
          <w:szCs w:val="24"/>
        </w:rPr>
        <w:t xml:space="preserve"> the </w:t>
      </w:r>
      <w:r w:rsidRPr="00E91F68">
        <w:rPr>
          <w:rFonts w:ascii="Arial" w:hAnsi="Arial" w:cs="Arial"/>
          <w:sz w:val="24"/>
          <w:szCs w:val="24"/>
        </w:rPr>
        <w:t xml:space="preserve">General Reserve </w:t>
      </w:r>
      <w:r w:rsidR="005C2EBB" w:rsidRPr="00E91F68">
        <w:rPr>
          <w:rFonts w:ascii="Arial" w:hAnsi="Arial" w:cs="Arial"/>
          <w:sz w:val="24"/>
          <w:szCs w:val="24"/>
        </w:rPr>
        <w:t>is forecast to be £</w:t>
      </w:r>
      <w:r w:rsidR="004F7FCE">
        <w:rPr>
          <w:rFonts w:ascii="Arial" w:hAnsi="Arial" w:cs="Arial"/>
          <w:sz w:val="24"/>
          <w:szCs w:val="24"/>
        </w:rPr>
        <w:t>11.3</w:t>
      </w:r>
      <w:r w:rsidR="005C2EBB" w:rsidRPr="00E91F68">
        <w:rPr>
          <w:rFonts w:ascii="Arial" w:hAnsi="Arial" w:cs="Arial"/>
          <w:sz w:val="24"/>
          <w:szCs w:val="24"/>
        </w:rPr>
        <w:t xml:space="preserve">m </w:t>
      </w:r>
      <w:r w:rsidRPr="00E91F68">
        <w:rPr>
          <w:rFonts w:ascii="Arial" w:hAnsi="Arial" w:cs="Arial"/>
          <w:sz w:val="24"/>
          <w:szCs w:val="24"/>
        </w:rPr>
        <w:t>at 31 March 20</w:t>
      </w:r>
      <w:r w:rsidR="005C2EBB" w:rsidRPr="00E91F68">
        <w:rPr>
          <w:rFonts w:ascii="Arial" w:hAnsi="Arial" w:cs="Arial"/>
          <w:sz w:val="24"/>
          <w:szCs w:val="24"/>
        </w:rPr>
        <w:t>2</w:t>
      </w:r>
      <w:r w:rsidR="00162DCD">
        <w:rPr>
          <w:rFonts w:ascii="Arial" w:hAnsi="Arial" w:cs="Arial"/>
          <w:sz w:val="24"/>
          <w:szCs w:val="24"/>
        </w:rPr>
        <w:t>5</w:t>
      </w:r>
      <w:r w:rsidRPr="00E91F68">
        <w:rPr>
          <w:rFonts w:ascii="Arial" w:hAnsi="Arial" w:cs="Arial"/>
          <w:sz w:val="24"/>
          <w:szCs w:val="24"/>
        </w:rPr>
        <w:t xml:space="preserve"> </w:t>
      </w:r>
      <w:r w:rsidR="004F7FCE">
        <w:rPr>
          <w:rFonts w:ascii="Arial" w:hAnsi="Arial" w:cs="Arial"/>
          <w:sz w:val="24"/>
          <w:szCs w:val="24"/>
        </w:rPr>
        <w:t>2.9</w:t>
      </w:r>
      <w:r w:rsidR="00E91F68" w:rsidRPr="00E91F68">
        <w:rPr>
          <w:rFonts w:ascii="Arial" w:hAnsi="Arial" w:cs="Arial"/>
          <w:sz w:val="24"/>
          <w:szCs w:val="24"/>
        </w:rPr>
        <w:t>%</w:t>
      </w:r>
      <w:r w:rsidRPr="00E91F68">
        <w:rPr>
          <w:rFonts w:ascii="Arial" w:hAnsi="Arial" w:cs="Arial"/>
          <w:sz w:val="24"/>
          <w:szCs w:val="24"/>
        </w:rPr>
        <w:t xml:space="preserve"> of NRE. The forecast outturn for </w:t>
      </w:r>
      <w:r w:rsidR="005C2EBB" w:rsidRPr="00E91F68">
        <w:rPr>
          <w:rFonts w:ascii="Arial" w:hAnsi="Arial" w:cs="Arial"/>
          <w:sz w:val="24"/>
          <w:szCs w:val="24"/>
        </w:rPr>
        <w:t>the 202</w:t>
      </w:r>
      <w:r w:rsidR="00162DCD">
        <w:rPr>
          <w:rFonts w:ascii="Arial" w:hAnsi="Arial" w:cs="Arial"/>
          <w:sz w:val="24"/>
          <w:szCs w:val="24"/>
        </w:rPr>
        <w:t>3</w:t>
      </w:r>
      <w:r w:rsidR="005C2EBB" w:rsidRPr="00E91F68">
        <w:rPr>
          <w:rFonts w:ascii="Arial" w:hAnsi="Arial" w:cs="Arial"/>
          <w:sz w:val="24"/>
          <w:szCs w:val="24"/>
        </w:rPr>
        <w:t>/2</w:t>
      </w:r>
      <w:r w:rsidR="00162DCD">
        <w:rPr>
          <w:rFonts w:ascii="Arial" w:hAnsi="Arial" w:cs="Arial"/>
          <w:sz w:val="24"/>
          <w:szCs w:val="24"/>
        </w:rPr>
        <w:t>4</w:t>
      </w:r>
      <w:r w:rsidR="005C2EBB" w:rsidRPr="00E91F68">
        <w:rPr>
          <w:rFonts w:ascii="Arial" w:hAnsi="Arial" w:cs="Arial"/>
          <w:sz w:val="24"/>
          <w:szCs w:val="24"/>
        </w:rPr>
        <w:t xml:space="preserve"> financial year</w:t>
      </w:r>
      <w:r w:rsidR="00E91F68" w:rsidRPr="00E91F68">
        <w:rPr>
          <w:rFonts w:ascii="Arial" w:hAnsi="Arial" w:cs="Arial"/>
          <w:sz w:val="24"/>
          <w:szCs w:val="24"/>
        </w:rPr>
        <w:t xml:space="preserve"> for the General Reserve </w:t>
      </w:r>
      <w:r w:rsidR="005C2EBB" w:rsidRPr="00E91F68">
        <w:rPr>
          <w:rFonts w:ascii="Arial" w:hAnsi="Arial" w:cs="Arial"/>
          <w:sz w:val="24"/>
          <w:szCs w:val="24"/>
        </w:rPr>
        <w:t>is</w:t>
      </w:r>
      <w:r w:rsidR="00E91F68" w:rsidRPr="00E91F68">
        <w:rPr>
          <w:rFonts w:ascii="Arial" w:hAnsi="Arial" w:cs="Arial"/>
          <w:sz w:val="24"/>
          <w:szCs w:val="24"/>
        </w:rPr>
        <w:t xml:space="preserve"> £</w:t>
      </w:r>
      <w:r w:rsidR="004F7FCE">
        <w:rPr>
          <w:rFonts w:ascii="Arial" w:hAnsi="Arial" w:cs="Arial"/>
          <w:sz w:val="24"/>
          <w:szCs w:val="24"/>
        </w:rPr>
        <w:t>10.</w:t>
      </w:r>
      <w:r w:rsidR="000E38FD">
        <w:rPr>
          <w:rFonts w:ascii="Arial" w:hAnsi="Arial" w:cs="Arial"/>
          <w:sz w:val="24"/>
          <w:szCs w:val="24"/>
        </w:rPr>
        <w:t>9</w:t>
      </w:r>
      <w:r w:rsidR="00CF2247" w:rsidRPr="00E91F68">
        <w:rPr>
          <w:rFonts w:ascii="Arial" w:hAnsi="Arial" w:cs="Arial"/>
          <w:sz w:val="24"/>
          <w:szCs w:val="24"/>
        </w:rPr>
        <w:t>m</w:t>
      </w:r>
      <w:r w:rsidR="00CF2247">
        <w:rPr>
          <w:rFonts w:ascii="Arial" w:hAnsi="Arial" w:cs="Arial"/>
          <w:sz w:val="24"/>
          <w:szCs w:val="24"/>
        </w:rPr>
        <w:t>,</w:t>
      </w:r>
      <w:r w:rsidR="00CF2247" w:rsidRPr="00E91F68">
        <w:rPr>
          <w:rFonts w:ascii="Arial" w:hAnsi="Arial" w:cs="Arial"/>
          <w:sz w:val="24"/>
          <w:szCs w:val="24"/>
        </w:rPr>
        <w:t xml:space="preserve"> which</w:t>
      </w:r>
      <w:r w:rsidRPr="00E91F68">
        <w:rPr>
          <w:rFonts w:ascii="Arial" w:hAnsi="Arial" w:cs="Arial"/>
          <w:sz w:val="24"/>
          <w:szCs w:val="24"/>
        </w:rPr>
        <w:t xml:space="preserve"> </w:t>
      </w:r>
      <w:r w:rsidR="00D84714">
        <w:rPr>
          <w:rFonts w:ascii="Arial" w:hAnsi="Arial" w:cs="Arial"/>
          <w:sz w:val="24"/>
          <w:szCs w:val="24"/>
        </w:rPr>
        <w:t xml:space="preserve">will be </w:t>
      </w:r>
      <w:r w:rsidRPr="00D84714">
        <w:rPr>
          <w:rFonts w:ascii="Arial" w:hAnsi="Arial" w:cs="Arial"/>
          <w:sz w:val="24"/>
          <w:szCs w:val="24"/>
        </w:rPr>
        <w:t>a movement of £</w:t>
      </w:r>
      <w:r w:rsidR="004F7FCE">
        <w:rPr>
          <w:rFonts w:ascii="Arial" w:hAnsi="Arial" w:cs="Arial"/>
          <w:sz w:val="24"/>
          <w:szCs w:val="24"/>
        </w:rPr>
        <w:t>0.</w:t>
      </w:r>
      <w:r w:rsidR="000E38FD">
        <w:rPr>
          <w:rFonts w:ascii="Arial" w:hAnsi="Arial" w:cs="Arial"/>
          <w:sz w:val="24"/>
          <w:szCs w:val="24"/>
        </w:rPr>
        <w:t>4</w:t>
      </w:r>
      <w:r w:rsidRPr="00E91F68">
        <w:rPr>
          <w:rFonts w:ascii="Arial" w:hAnsi="Arial" w:cs="Arial"/>
          <w:sz w:val="24"/>
          <w:szCs w:val="24"/>
        </w:rPr>
        <w:t>m</w:t>
      </w:r>
      <w:r w:rsidR="004F7FCE">
        <w:rPr>
          <w:rFonts w:ascii="Arial" w:hAnsi="Arial" w:cs="Arial"/>
          <w:sz w:val="24"/>
          <w:szCs w:val="24"/>
        </w:rPr>
        <w:t xml:space="preserve">. </w:t>
      </w:r>
      <w:r w:rsidR="00E91F68" w:rsidRPr="00E91F68">
        <w:rPr>
          <w:rFonts w:ascii="Arial" w:hAnsi="Arial" w:cs="Arial"/>
          <w:sz w:val="24"/>
          <w:szCs w:val="24"/>
        </w:rPr>
        <w:t>By the end of the following year 202</w:t>
      </w:r>
      <w:r w:rsidR="00162DCD">
        <w:rPr>
          <w:rFonts w:ascii="Arial" w:hAnsi="Arial" w:cs="Arial"/>
          <w:sz w:val="24"/>
          <w:szCs w:val="24"/>
        </w:rPr>
        <w:t>5</w:t>
      </w:r>
      <w:r w:rsidR="00E91F68" w:rsidRPr="00E91F68">
        <w:rPr>
          <w:rFonts w:ascii="Arial" w:hAnsi="Arial" w:cs="Arial"/>
          <w:sz w:val="24"/>
          <w:szCs w:val="24"/>
        </w:rPr>
        <w:t>/2</w:t>
      </w:r>
      <w:r w:rsidR="00162DCD">
        <w:rPr>
          <w:rFonts w:ascii="Arial" w:hAnsi="Arial" w:cs="Arial"/>
          <w:sz w:val="24"/>
          <w:szCs w:val="24"/>
        </w:rPr>
        <w:t>6</w:t>
      </w:r>
      <w:r w:rsidR="00E91F68" w:rsidRPr="00E91F68">
        <w:rPr>
          <w:rFonts w:ascii="Arial" w:hAnsi="Arial" w:cs="Arial"/>
          <w:sz w:val="24"/>
          <w:szCs w:val="24"/>
        </w:rPr>
        <w:t>, the General Rese</w:t>
      </w:r>
      <w:r w:rsidR="00ED1DC7">
        <w:rPr>
          <w:rFonts w:ascii="Arial" w:hAnsi="Arial" w:cs="Arial"/>
          <w:sz w:val="24"/>
          <w:szCs w:val="24"/>
        </w:rPr>
        <w:t>r</w:t>
      </w:r>
      <w:r w:rsidR="00E91F68" w:rsidRPr="00E91F68">
        <w:rPr>
          <w:rFonts w:ascii="Arial" w:hAnsi="Arial" w:cs="Arial"/>
          <w:sz w:val="24"/>
          <w:szCs w:val="24"/>
        </w:rPr>
        <w:t xml:space="preserve">ve will be reinstated to 3%, which will </w:t>
      </w:r>
      <w:r w:rsidR="00E91F68" w:rsidRPr="009F54BF">
        <w:rPr>
          <w:rFonts w:ascii="Arial" w:hAnsi="Arial" w:cs="Arial"/>
          <w:sz w:val="24"/>
          <w:szCs w:val="24"/>
        </w:rPr>
        <w:t>be £</w:t>
      </w:r>
      <w:r w:rsidR="004F7FCE" w:rsidRPr="009F54BF">
        <w:rPr>
          <w:rFonts w:ascii="Arial" w:hAnsi="Arial" w:cs="Arial"/>
          <w:sz w:val="24"/>
          <w:szCs w:val="24"/>
        </w:rPr>
        <w:t>12.4</w:t>
      </w:r>
      <w:r w:rsidR="00E91F68" w:rsidRPr="009F54BF">
        <w:rPr>
          <w:rFonts w:ascii="Arial" w:hAnsi="Arial" w:cs="Arial"/>
          <w:sz w:val="24"/>
          <w:szCs w:val="24"/>
        </w:rPr>
        <w:t>m, an</w:t>
      </w:r>
      <w:r w:rsidR="00E91F68" w:rsidRPr="00E91F68">
        <w:rPr>
          <w:rFonts w:ascii="Arial" w:hAnsi="Arial" w:cs="Arial"/>
          <w:sz w:val="24"/>
          <w:szCs w:val="24"/>
        </w:rPr>
        <w:t xml:space="preserve"> increase of £</w:t>
      </w:r>
      <w:r w:rsidR="004F7FCE">
        <w:rPr>
          <w:rFonts w:ascii="Arial" w:hAnsi="Arial" w:cs="Arial"/>
          <w:sz w:val="24"/>
          <w:szCs w:val="24"/>
        </w:rPr>
        <w:t>1.1</w:t>
      </w:r>
      <w:r w:rsidR="00E91F68" w:rsidRPr="00E91F68">
        <w:rPr>
          <w:rFonts w:ascii="Arial" w:hAnsi="Arial" w:cs="Arial"/>
          <w:sz w:val="24"/>
          <w:szCs w:val="24"/>
        </w:rPr>
        <w:t>m</w:t>
      </w:r>
      <w:r w:rsidR="00ED1DC7">
        <w:rPr>
          <w:rFonts w:ascii="Arial" w:hAnsi="Arial" w:cs="Arial"/>
          <w:sz w:val="24"/>
          <w:szCs w:val="24"/>
        </w:rPr>
        <w:t>.</w:t>
      </w:r>
      <w:r w:rsidR="00E91F68" w:rsidRPr="00E91F68">
        <w:rPr>
          <w:rFonts w:ascii="Arial" w:hAnsi="Arial" w:cs="Arial"/>
          <w:sz w:val="24"/>
          <w:szCs w:val="24"/>
        </w:rPr>
        <w:t xml:space="preserve"> It will be maintained at 3% for the remainder of the </w:t>
      </w:r>
      <w:r w:rsidR="00162DCD">
        <w:rPr>
          <w:rFonts w:ascii="Arial" w:hAnsi="Arial" w:cs="Arial"/>
          <w:sz w:val="24"/>
          <w:szCs w:val="24"/>
        </w:rPr>
        <w:t>MTFS</w:t>
      </w:r>
      <w:r w:rsidR="00E91F68" w:rsidRPr="00E91F68">
        <w:rPr>
          <w:rFonts w:ascii="Arial" w:hAnsi="Arial" w:cs="Arial"/>
          <w:sz w:val="24"/>
          <w:szCs w:val="24"/>
        </w:rPr>
        <w:t>, which will be £</w:t>
      </w:r>
      <w:r w:rsidR="004F7FCE" w:rsidRPr="009F54BF">
        <w:rPr>
          <w:rFonts w:ascii="Arial" w:hAnsi="Arial" w:cs="Arial"/>
          <w:sz w:val="24"/>
          <w:szCs w:val="24"/>
        </w:rPr>
        <w:t>12.9</w:t>
      </w:r>
      <w:r w:rsidR="00E91F68" w:rsidRPr="009F54BF">
        <w:rPr>
          <w:rFonts w:ascii="Arial" w:hAnsi="Arial" w:cs="Arial"/>
          <w:sz w:val="24"/>
          <w:szCs w:val="24"/>
        </w:rPr>
        <w:t>m by the end of 202</w:t>
      </w:r>
      <w:r w:rsidR="00162DCD" w:rsidRPr="009F54BF">
        <w:rPr>
          <w:rFonts w:ascii="Arial" w:hAnsi="Arial" w:cs="Arial"/>
          <w:sz w:val="24"/>
          <w:szCs w:val="24"/>
        </w:rPr>
        <w:t>6</w:t>
      </w:r>
      <w:r w:rsidR="00E91F68" w:rsidRPr="009F54BF">
        <w:rPr>
          <w:rFonts w:ascii="Arial" w:hAnsi="Arial" w:cs="Arial"/>
          <w:sz w:val="24"/>
          <w:szCs w:val="24"/>
        </w:rPr>
        <w:t>/2</w:t>
      </w:r>
      <w:r w:rsidR="00162DCD" w:rsidRPr="009F54BF">
        <w:rPr>
          <w:rFonts w:ascii="Arial" w:hAnsi="Arial" w:cs="Arial"/>
          <w:sz w:val="24"/>
          <w:szCs w:val="24"/>
        </w:rPr>
        <w:t>7</w:t>
      </w:r>
      <w:r w:rsidR="00E91F68" w:rsidRPr="009F54BF">
        <w:rPr>
          <w:rFonts w:ascii="Arial" w:hAnsi="Arial" w:cs="Arial"/>
          <w:sz w:val="24"/>
          <w:szCs w:val="24"/>
        </w:rPr>
        <w:t>, £</w:t>
      </w:r>
      <w:r w:rsidR="004F7FCE" w:rsidRPr="009F54BF">
        <w:rPr>
          <w:rFonts w:ascii="Arial" w:hAnsi="Arial" w:cs="Arial"/>
          <w:sz w:val="24"/>
          <w:szCs w:val="24"/>
        </w:rPr>
        <w:t>13.4m</w:t>
      </w:r>
      <w:r w:rsidR="00E91F68" w:rsidRPr="009F54BF">
        <w:rPr>
          <w:rFonts w:ascii="Arial" w:hAnsi="Arial" w:cs="Arial"/>
          <w:sz w:val="24"/>
          <w:szCs w:val="24"/>
        </w:rPr>
        <w:t xml:space="preserve"> by the end of 202</w:t>
      </w:r>
      <w:r w:rsidR="002E63CB" w:rsidRPr="009F54BF">
        <w:rPr>
          <w:rFonts w:ascii="Arial" w:hAnsi="Arial" w:cs="Arial"/>
          <w:sz w:val="24"/>
          <w:szCs w:val="24"/>
        </w:rPr>
        <w:t>7</w:t>
      </w:r>
      <w:r w:rsidR="00E91F68" w:rsidRPr="009F54BF">
        <w:rPr>
          <w:rFonts w:ascii="Arial" w:hAnsi="Arial" w:cs="Arial"/>
          <w:sz w:val="24"/>
          <w:szCs w:val="24"/>
        </w:rPr>
        <w:t>/2</w:t>
      </w:r>
      <w:r w:rsidR="002E63CB" w:rsidRPr="009F54BF">
        <w:rPr>
          <w:rFonts w:ascii="Arial" w:hAnsi="Arial" w:cs="Arial"/>
          <w:sz w:val="24"/>
          <w:szCs w:val="24"/>
        </w:rPr>
        <w:t>8</w:t>
      </w:r>
      <w:r w:rsidR="00E91F68" w:rsidRPr="009F54BF">
        <w:rPr>
          <w:rFonts w:ascii="Arial" w:hAnsi="Arial" w:cs="Arial"/>
          <w:sz w:val="24"/>
          <w:szCs w:val="24"/>
        </w:rPr>
        <w:t xml:space="preserve"> and £</w:t>
      </w:r>
      <w:r w:rsidR="004F7FCE" w:rsidRPr="009F54BF">
        <w:rPr>
          <w:rFonts w:ascii="Arial" w:hAnsi="Arial" w:cs="Arial"/>
          <w:sz w:val="24"/>
          <w:szCs w:val="24"/>
        </w:rPr>
        <w:t>14.0m</w:t>
      </w:r>
      <w:r w:rsidR="00E91F68" w:rsidRPr="009F54BF">
        <w:rPr>
          <w:rFonts w:ascii="Arial" w:hAnsi="Arial" w:cs="Arial"/>
          <w:sz w:val="24"/>
          <w:szCs w:val="24"/>
        </w:rPr>
        <w:t xml:space="preserve"> by the end of 202</w:t>
      </w:r>
      <w:r w:rsidR="002E63CB" w:rsidRPr="009F54BF">
        <w:rPr>
          <w:rFonts w:ascii="Arial" w:hAnsi="Arial" w:cs="Arial"/>
          <w:sz w:val="24"/>
          <w:szCs w:val="24"/>
        </w:rPr>
        <w:t>8</w:t>
      </w:r>
      <w:r w:rsidR="00E91F68" w:rsidRPr="009F54BF">
        <w:rPr>
          <w:rFonts w:ascii="Arial" w:hAnsi="Arial" w:cs="Arial"/>
          <w:sz w:val="24"/>
          <w:szCs w:val="24"/>
        </w:rPr>
        <w:t>/2</w:t>
      </w:r>
      <w:r w:rsidR="002E63CB" w:rsidRPr="009F54BF">
        <w:rPr>
          <w:rFonts w:ascii="Arial" w:hAnsi="Arial" w:cs="Arial"/>
          <w:sz w:val="24"/>
          <w:szCs w:val="24"/>
        </w:rPr>
        <w:t>9</w:t>
      </w:r>
      <w:r w:rsidR="00ED1DC7" w:rsidRPr="009F54BF">
        <w:rPr>
          <w:rFonts w:ascii="Arial" w:hAnsi="Arial" w:cs="Arial"/>
          <w:sz w:val="24"/>
          <w:szCs w:val="24"/>
        </w:rPr>
        <w:t>.</w:t>
      </w:r>
    </w:p>
    <w:p w14:paraId="081FEFBA" w14:textId="3B84C427" w:rsidR="0090430E" w:rsidRDefault="0090430E">
      <w:pPr>
        <w:rPr>
          <w:rFonts w:ascii="Arial" w:hAnsi="Arial" w:cs="Arial"/>
          <w:sz w:val="24"/>
          <w:szCs w:val="24"/>
        </w:rPr>
      </w:pPr>
    </w:p>
    <w:p w14:paraId="5E6060C7" w14:textId="77777777" w:rsidR="005F7B69" w:rsidRDefault="005F7B69">
      <w:pPr>
        <w:rPr>
          <w:rFonts w:ascii="Arial" w:hAnsi="Arial" w:cs="Arial"/>
          <w:sz w:val="24"/>
          <w:szCs w:val="24"/>
        </w:rPr>
      </w:pPr>
    </w:p>
    <w:p w14:paraId="31970FA7" w14:textId="77777777" w:rsidR="005F7B69" w:rsidRDefault="005F7B69">
      <w:pPr>
        <w:rPr>
          <w:rFonts w:ascii="Arial" w:hAnsi="Arial" w:cs="Arial"/>
          <w:sz w:val="24"/>
          <w:szCs w:val="24"/>
        </w:rPr>
      </w:pPr>
    </w:p>
    <w:p w14:paraId="4DE6DF4B" w14:textId="77777777" w:rsidR="005F7B69" w:rsidRDefault="005F7B69">
      <w:pPr>
        <w:rPr>
          <w:rFonts w:ascii="Arial" w:hAnsi="Arial" w:cs="Arial"/>
          <w:sz w:val="24"/>
          <w:szCs w:val="24"/>
        </w:rPr>
      </w:pPr>
    </w:p>
    <w:p w14:paraId="454F1F86" w14:textId="77777777" w:rsidR="005F7B69" w:rsidRDefault="005F7B69">
      <w:pPr>
        <w:rPr>
          <w:rFonts w:ascii="Arial" w:hAnsi="Arial" w:cs="Arial"/>
          <w:sz w:val="24"/>
          <w:szCs w:val="24"/>
        </w:rPr>
      </w:pPr>
    </w:p>
    <w:p w14:paraId="192B4960" w14:textId="77777777" w:rsidR="005F7B69" w:rsidRDefault="005F7B69">
      <w:pPr>
        <w:rPr>
          <w:rFonts w:ascii="Arial" w:hAnsi="Arial" w:cs="Arial"/>
          <w:sz w:val="24"/>
          <w:szCs w:val="24"/>
        </w:rPr>
      </w:pPr>
    </w:p>
    <w:p w14:paraId="491C3402" w14:textId="77777777" w:rsidR="005F7B69" w:rsidRDefault="005F7B69">
      <w:pPr>
        <w:rPr>
          <w:rFonts w:ascii="Arial" w:hAnsi="Arial" w:cs="Arial"/>
          <w:sz w:val="24"/>
          <w:szCs w:val="24"/>
        </w:rPr>
      </w:pPr>
    </w:p>
    <w:p w14:paraId="28436EB8" w14:textId="77777777" w:rsidR="005F7B69" w:rsidRDefault="005F7B69">
      <w:pPr>
        <w:rPr>
          <w:rFonts w:ascii="Arial" w:hAnsi="Arial" w:cs="Arial"/>
          <w:sz w:val="24"/>
          <w:szCs w:val="24"/>
        </w:rPr>
      </w:pPr>
    </w:p>
    <w:p w14:paraId="13EDBAEB" w14:textId="77777777" w:rsidR="005F7B69" w:rsidRDefault="005F7B69">
      <w:pPr>
        <w:rPr>
          <w:rFonts w:ascii="Arial" w:hAnsi="Arial" w:cs="Arial"/>
          <w:sz w:val="24"/>
          <w:szCs w:val="24"/>
        </w:rPr>
      </w:pPr>
    </w:p>
    <w:p w14:paraId="6BD6A624" w14:textId="77777777" w:rsidR="005F7B69" w:rsidRDefault="005F7B69">
      <w:pPr>
        <w:rPr>
          <w:rFonts w:ascii="Arial" w:hAnsi="Arial" w:cs="Arial"/>
          <w:sz w:val="24"/>
          <w:szCs w:val="24"/>
        </w:rPr>
      </w:pPr>
    </w:p>
    <w:p w14:paraId="10DC17D9" w14:textId="77777777" w:rsidR="005F7B69" w:rsidRDefault="005F7B69">
      <w:pPr>
        <w:rPr>
          <w:rFonts w:ascii="Arial" w:hAnsi="Arial" w:cs="Arial"/>
          <w:sz w:val="24"/>
          <w:szCs w:val="24"/>
        </w:rPr>
      </w:pPr>
    </w:p>
    <w:p w14:paraId="42DB88C5" w14:textId="77777777" w:rsidR="005F7B69" w:rsidRDefault="005F7B69">
      <w:pPr>
        <w:rPr>
          <w:rFonts w:ascii="Arial" w:hAnsi="Arial" w:cs="Arial"/>
          <w:sz w:val="24"/>
          <w:szCs w:val="24"/>
        </w:rPr>
      </w:pPr>
    </w:p>
    <w:p w14:paraId="0F175324" w14:textId="77777777" w:rsidR="005F7B69" w:rsidRDefault="005F7B69">
      <w:pPr>
        <w:rPr>
          <w:rFonts w:ascii="Arial" w:hAnsi="Arial" w:cs="Arial"/>
          <w:sz w:val="24"/>
          <w:szCs w:val="24"/>
        </w:rPr>
      </w:pPr>
    </w:p>
    <w:p w14:paraId="2ADDABD8" w14:textId="77777777" w:rsidR="005F7B69" w:rsidRDefault="005F7B69">
      <w:pPr>
        <w:rPr>
          <w:rFonts w:ascii="Arial" w:hAnsi="Arial" w:cs="Arial"/>
          <w:sz w:val="24"/>
          <w:szCs w:val="24"/>
        </w:rPr>
      </w:pPr>
    </w:p>
    <w:p w14:paraId="0C1C0AFC" w14:textId="77777777" w:rsidR="005F7B69" w:rsidRDefault="005F7B69">
      <w:pPr>
        <w:rPr>
          <w:rFonts w:ascii="Arial" w:hAnsi="Arial" w:cs="Arial"/>
          <w:sz w:val="24"/>
          <w:szCs w:val="24"/>
        </w:rPr>
      </w:pPr>
    </w:p>
    <w:p w14:paraId="63122CCF" w14:textId="77777777" w:rsidR="005F7B69" w:rsidRDefault="005F7B69">
      <w:pPr>
        <w:rPr>
          <w:rFonts w:ascii="Arial" w:hAnsi="Arial" w:cs="Arial"/>
          <w:sz w:val="24"/>
          <w:szCs w:val="24"/>
        </w:rPr>
      </w:pPr>
    </w:p>
    <w:p w14:paraId="185FF19E" w14:textId="77777777" w:rsidR="005F7B69" w:rsidRDefault="005F7B69">
      <w:pPr>
        <w:rPr>
          <w:rFonts w:ascii="Arial" w:hAnsi="Arial" w:cs="Arial"/>
          <w:sz w:val="24"/>
          <w:szCs w:val="24"/>
        </w:rPr>
      </w:pPr>
    </w:p>
    <w:p w14:paraId="3E39E78A" w14:textId="77777777" w:rsidR="005F7B69" w:rsidRDefault="005F7B69">
      <w:pPr>
        <w:rPr>
          <w:rFonts w:ascii="Arial" w:hAnsi="Arial" w:cs="Arial"/>
          <w:sz w:val="24"/>
          <w:szCs w:val="24"/>
        </w:rPr>
      </w:pPr>
    </w:p>
    <w:p w14:paraId="37CEE206" w14:textId="77777777" w:rsidR="005F7B69" w:rsidRDefault="005F7B69">
      <w:pPr>
        <w:rPr>
          <w:rFonts w:ascii="Arial" w:hAnsi="Arial" w:cs="Arial"/>
          <w:sz w:val="24"/>
          <w:szCs w:val="24"/>
        </w:rPr>
      </w:pPr>
    </w:p>
    <w:p w14:paraId="5BCA8C68" w14:textId="2D001754" w:rsidR="00A74361" w:rsidRPr="00A74361" w:rsidRDefault="00A74361" w:rsidP="00A74361">
      <w:pPr>
        <w:pStyle w:val="ListParagraph"/>
        <w:numPr>
          <w:ilvl w:val="0"/>
          <w:numId w:val="6"/>
        </w:numPr>
        <w:ind w:left="709" w:hanging="709"/>
        <w:jc w:val="both"/>
        <w:rPr>
          <w:rFonts w:ascii="Arial" w:hAnsi="Arial" w:cs="Arial"/>
          <w:b/>
          <w:sz w:val="24"/>
          <w:szCs w:val="24"/>
        </w:rPr>
      </w:pPr>
      <w:bookmarkStart w:id="0" w:name="_Hlk127472528"/>
      <w:r>
        <w:rPr>
          <w:rFonts w:ascii="Arial" w:hAnsi="Arial" w:cs="Arial"/>
          <w:b/>
          <w:sz w:val="24"/>
          <w:szCs w:val="24"/>
        </w:rPr>
        <w:lastRenderedPageBreak/>
        <w:t xml:space="preserve">Capital </w:t>
      </w:r>
      <w:r w:rsidRPr="00A74361">
        <w:rPr>
          <w:rFonts w:ascii="Arial" w:hAnsi="Arial" w:cs="Arial"/>
          <w:b/>
          <w:sz w:val="24"/>
          <w:szCs w:val="24"/>
        </w:rPr>
        <w:t>Reserve</w:t>
      </w:r>
      <w:r>
        <w:rPr>
          <w:rFonts w:ascii="Arial" w:hAnsi="Arial" w:cs="Arial"/>
          <w:b/>
          <w:sz w:val="24"/>
          <w:szCs w:val="24"/>
        </w:rPr>
        <w:t>s</w:t>
      </w:r>
    </w:p>
    <w:p w14:paraId="57EFC796" w14:textId="3A90CD92" w:rsidR="00ED1DC7" w:rsidRDefault="00ED1DC7" w:rsidP="00ED1DC7">
      <w:pPr>
        <w:pStyle w:val="ListParagraph"/>
        <w:ind w:left="792"/>
        <w:jc w:val="both"/>
        <w:rPr>
          <w:rFonts w:ascii="Arial" w:hAnsi="Arial" w:cs="Arial"/>
          <w:sz w:val="24"/>
          <w:szCs w:val="24"/>
        </w:rPr>
      </w:pPr>
    </w:p>
    <w:p w14:paraId="5393FCCE" w14:textId="198BB573" w:rsidR="007857C8" w:rsidRPr="005F7B69" w:rsidRDefault="00D070F7" w:rsidP="005F7B69">
      <w:pPr>
        <w:pStyle w:val="ListParagraph"/>
        <w:numPr>
          <w:ilvl w:val="1"/>
          <w:numId w:val="6"/>
        </w:numPr>
        <w:ind w:left="709" w:hanging="709"/>
        <w:rPr>
          <w:rFonts w:ascii="Arial" w:hAnsi="Arial" w:cs="Arial"/>
          <w:sz w:val="24"/>
          <w:szCs w:val="24"/>
        </w:rPr>
      </w:pPr>
      <w:r>
        <w:rPr>
          <w:rFonts w:ascii="Arial" w:hAnsi="Arial" w:cs="Arial"/>
          <w:sz w:val="24"/>
          <w:szCs w:val="24"/>
        </w:rPr>
        <w:t>The PFCC receives capital receipts from the sale of non</w:t>
      </w:r>
      <w:r w:rsidR="00F964EF">
        <w:rPr>
          <w:rFonts w:ascii="Arial" w:hAnsi="Arial" w:cs="Arial"/>
          <w:sz w:val="24"/>
          <w:szCs w:val="24"/>
        </w:rPr>
        <w:t>-</w:t>
      </w:r>
      <w:r>
        <w:rPr>
          <w:rFonts w:ascii="Arial" w:hAnsi="Arial" w:cs="Arial"/>
          <w:sz w:val="24"/>
          <w:szCs w:val="24"/>
        </w:rPr>
        <w:t xml:space="preserve">current </w:t>
      </w:r>
      <w:proofErr w:type="gramStart"/>
      <w:r>
        <w:rPr>
          <w:rFonts w:ascii="Arial" w:hAnsi="Arial" w:cs="Arial"/>
          <w:sz w:val="24"/>
          <w:szCs w:val="24"/>
        </w:rPr>
        <w:t>assets</w:t>
      </w:r>
      <w:proofErr w:type="gramEnd"/>
      <w:r>
        <w:rPr>
          <w:rFonts w:ascii="Arial" w:hAnsi="Arial" w:cs="Arial"/>
          <w:sz w:val="24"/>
          <w:szCs w:val="24"/>
        </w:rPr>
        <w:t xml:space="preserve"> and these are held within the Capital Receipts reserve</w:t>
      </w:r>
      <w:r w:rsidR="00F964EF">
        <w:rPr>
          <w:rFonts w:ascii="Arial" w:hAnsi="Arial" w:cs="Arial"/>
          <w:sz w:val="24"/>
          <w:szCs w:val="24"/>
        </w:rPr>
        <w:t xml:space="preserve"> as regulation dictates that they may only be used to meet capital expenditure, repay debt or meet the cost of disposal of land.</w:t>
      </w:r>
      <w:r>
        <w:rPr>
          <w:rFonts w:ascii="Arial" w:hAnsi="Arial" w:cs="Arial"/>
          <w:sz w:val="24"/>
          <w:szCs w:val="24"/>
        </w:rPr>
        <w:t xml:space="preserve">  Often the receipts received in year are applied to finance the in-year capital investment and therefore there is often a nil balance on the reserve at the end of the year. </w:t>
      </w:r>
      <w:r w:rsidR="00F964EF">
        <w:rPr>
          <w:rFonts w:ascii="Arial" w:hAnsi="Arial" w:cs="Arial"/>
          <w:sz w:val="24"/>
          <w:szCs w:val="24"/>
        </w:rPr>
        <w:t xml:space="preserve"> The closing balance as at 31</w:t>
      </w:r>
      <w:r w:rsidR="00F964EF" w:rsidRPr="00F964EF">
        <w:rPr>
          <w:rFonts w:ascii="Arial" w:hAnsi="Arial" w:cs="Arial"/>
          <w:sz w:val="24"/>
          <w:szCs w:val="24"/>
          <w:vertAlign w:val="superscript"/>
        </w:rPr>
        <w:t>st</w:t>
      </w:r>
      <w:r w:rsidR="00F964EF">
        <w:rPr>
          <w:rFonts w:ascii="Arial" w:hAnsi="Arial" w:cs="Arial"/>
          <w:sz w:val="24"/>
          <w:szCs w:val="24"/>
        </w:rPr>
        <w:t xml:space="preserve"> March 202</w:t>
      </w:r>
      <w:r w:rsidR="000E0DDD">
        <w:rPr>
          <w:rFonts w:ascii="Arial" w:hAnsi="Arial" w:cs="Arial"/>
          <w:sz w:val="24"/>
          <w:szCs w:val="24"/>
        </w:rPr>
        <w:t>3</w:t>
      </w:r>
      <w:r w:rsidR="00F964EF">
        <w:rPr>
          <w:rFonts w:ascii="Arial" w:hAnsi="Arial" w:cs="Arial"/>
          <w:sz w:val="24"/>
          <w:szCs w:val="24"/>
        </w:rPr>
        <w:t xml:space="preserve"> was £</w:t>
      </w:r>
      <w:r w:rsidR="00C7659B">
        <w:rPr>
          <w:rFonts w:ascii="Arial" w:hAnsi="Arial" w:cs="Arial"/>
          <w:sz w:val="24"/>
          <w:szCs w:val="24"/>
        </w:rPr>
        <w:t>0.0</w:t>
      </w:r>
      <w:r w:rsidR="00F964EF">
        <w:rPr>
          <w:rFonts w:ascii="Arial" w:hAnsi="Arial" w:cs="Arial"/>
          <w:sz w:val="24"/>
          <w:szCs w:val="24"/>
        </w:rPr>
        <w:t xml:space="preserve">m and is forecast to </w:t>
      </w:r>
      <w:r w:rsidR="00F964EF" w:rsidRPr="00A10B8E">
        <w:rPr>
          <w:rFonts w:ascii="Arial" w:hAnsi="Arial" w:cs="Arial"/>
          <w:sz w:val="24"/>
          <w:szCs w:val="24"/>
        </w:rPr>
        <w:t xml:space="preserve">be </w:t>
      </w:r>
      <w:r w:rsidR="00C7659B" w:rsidRPr="00A10B8E">
        <w:rPr>
          <w:rFonts w:ascii="Arial" w:hAnsi="Arial" w:cs="Arial"/>
          <w:sz w:val="24"/>
          <w:szCs w:val="24"/>
        </w:rPr>
        <w:t>£</w:t>
      </w:r>
      <w:r w:rsidR="00A10B8E" w:rsidRPr="00A10B8E">
        <w:rPr>
          <w:rFonts w:ascii="Arial" w:hAnsi="Arial" w:cs="Arial"/>
          <w:sz w:val="24"/>
          <w:szCs w:val="24"/>
        </w:rPr>
        <w:t>0.0</w:t>
      </w:r>
      <w:r w:rsidR="00C7659B" w:rsidRPr="00A10B8E">
        <w:rPr>
          <w:rFonts w:ascii="Arial" w:hAnsi="Arial" w:cs="Arial"/>
          <w:sz w:val="24"/>
          <w:szCs w:val="24"/>
        </w:rPr>
        <w:t xml:space="preserve">m </w:t>
      </w:r>
      <w:r w:rsidR="00C7659B">
        <w:rPr>
          <w:rFonts w:ascii="Arial" w:hAnsi="Arial" w:cs="Arial"/>
          <w:sz w:val="24"/>
          <w:szCs w:val="24"/>
        </w:rPr>
        <w:t>on</w:t>
      </w:r>
      <w:r w:rsidR="00F964EF">
        <w:rPr>
          <w:rFonts w:ascii="Arial" w:hAnsi="Arial" w:cs="Arial"/>
          <w:sz w:val="24"/>
          <w:szCs w:val="24"/>
        </w:rPr>
        <w:t xml:space="preserve"> 31</w:t>
      </w:r>
      <w:r w:rsidR="00F964EF" w:rsidRPr="00F964EF">
        <w:rPr>
          <w:rFonts w:ascii="Arial" w:hAnsi="Arial" w:cs="Arial"/>
          <w:sz w:val="24"/>
          <w:szCs w:val="24"/>
          <w:vertAlign w:val="superscript"/>
        </w:rPr>
        <w:t>st</w:t>
      </w:r>
      <w:r w:rsidR="00F964EF">
        <w:rPr>
          <w:rFonts w:ascii="Arial" w:hAnsi="Arial" w:cs="Arial"/>
          <w:sz w:val="24"/>
          <w:szCs w:val="24"/>
        </w:rPr>
        <w:t xml:space="preserve"> March 202</w:t>
      </w:r>
      <w:r w:rsidR="000E0DDD">
        <w:rPr>
          <w:rFonts w:ascii="Arial" w:hAnsi="Arial" w:cs="Arial"/>
          <w:sz w:val="24"/>
          <w:szCs w:val="24"/>
        </w:rPr>
        <w:t>4</w:t>
      </w:r>
      <w:r w:rsidR="00F964EF">
        <w:rPr>
          <w:rFonts w:ascii="Arial" w:hAnsi="Arial" w:cs="Arial"/>
          <w:sz w:val="24"/>
          <w:szCs w:val="24"/>
        </w:rPr>
        <w:t xml:space="preserve">. </w:t>
      </w:r>
      <w:bookmarkEnd w:id="0"/>
      <w:r w:rsidR="007857C8" w:rsidRPr="005F7B69">
        <w:rPr>
          <w:rFonts w:ascii="Arial" w:hAnsi="Arial" w:cs="Arial"/>
          <w:b/>
          <w:sz w:val="24"/>
          <w:szCs w:val="24"/>
        </w:rPr>
        <w:br w:type="page"/>
      </w:r>
    </w:p>
    <w:p w14:paraId="5F580FC8" w14:textId="3091D6E8" w:rsidR="00D161C7" w:rsidRDefault="00D161C7" w:rsidP="00D070F7">
      <w:pPr>
        <w:pStyle w:val="ListParagraph"/>
        <w:numPr>
          <w:ilvl w:val="0"/>
          <w:numId w:val="6"/>
        </w:numPr>
        <w:ind w:left="709" w:hanging="709"/>
        <w:jc w:val="both"/>
        <w:rPr>
          <w:rFonts w:ascii="Arial" w:hAnsi="Arial" w:cs="Arial"/>
          <w:b/>
          <w:sz w:val="24"/>
          <w:szCs w:val="24"/>
        </w:rPr>
      </w:pPr>
      <w:r w:rsidRPr="00BE10CC">
        <w:rPr>
          <w:rFonts w:ascii="Arial" w:hAnsi="Arial" w:cs="Arial"/>
          <w:b/>
          <w:sz w:val="24"/>
          <w:szCs w:val="24"/>
        </w:rPr>
        <w:lastRenderedPageBreak/>
        <w:t>Earmarked Reserve</w:t>
      </w:r>
      <w:r w:rsidR="00BF6934">
        <w:rPr>
          <w:rFonts w:ascii="Arial" w:hAnsi="Arial" w:cs="Arial"/>
          <w:b/>
          <w:sz w:val="24"/>
          <w:szCs w:val="24"/>
        </w:rPr>
        <w:t>s</w:t>
      </w:r>
    </w:p>
    <w:p w14:paraId="52EF3770" w14:textId="77777777" w:rsidR="001B43EB" w:rsidRPr="00BE10CC" w:rsidRDefault="001B43EB" w:rsidP="00BE10CC">
      <w:pPr>
        <w:pStyle w:val="ListParagraph"/>
        <w:ind w:left="360"/>
        <w:jc w:val="both"/>
        <w:rPr>
          <w:rFonts w:ascii="Arial" w:hAnsi="Arial" w:cs="Arial"/>
          <w:b/>
          <w:sz w:val="24"/>
          <w:szCs w:val="24"/>
        </w:rPr>
      </w:pPr>
    </w:p>
    <w:p w14:paraId="09BBAAC4" w14:textId="45664A05" w:rsidR="008606F1" w:rsidRDefault="00D161C7" w:rsidP="00D070F7">
      <w:pPr>
        <w:pStyle w:val="ListParagraph"/>
        <w:numPr>
          <w:ilvl w:val="1"/>
          <w:numId w:val="6"/>
        </w:numPr>
        <w:ind w:left="709" w:hanging="709"/>
        <w:rPr>
          <w:rFonts w:ascii="Arial" w:hAnsi="Arial" w:cs="Arial"/>
          <w:sz w:val="24"/>
          <w:szCs w:val="24"/>
        </w:rPr>
      </w:pPr>
      <w:r w:rsidRPr="00BE10CC">
        <w:rPr>
          <w:rFonts w:ascii="Arial" w:hAnsi="Arial" w:cs="Arial"/>
          <w:sz w:val="24"/>
          <w:szCs w:val="24"/>
        </w:rPr>
        <w:t xml:space="preserve">At </w:t>
      </w:r>
      <w:r w:rsidR="0090430E">
        <w:rPr>
          <w:rFonts w:ascii="Arial" w:hAnsi="Arial" w:cs="Arial"/>
          <w:sz w:val="24"/>
          <w:szCs w:val="24"/>
        </w:rPr>
        <w:t>31</w:t>
      </w:r>
      <w:r w:rsidR="008606F1" w:rsidRPr="00BE10CC">
        <w:rPr>
          <w:rFonts w:ascii="Arial" w:hAnsi="Arial" w:cs="Arial"/>
          <w:sz w:val="24"/>
          <w:szCs w:val="24"/>
        </w:rPr>
        <w:t xml:space="preserve"> </w:t>
      </w:r>
      <w:r w:rsidR="0090430E">
        <w:rPr>
          <w:rFonts w:ascii="Arial" w:hAnsi="Arial" w:cs="Arial"/>
          <w:sz w:val="24"/>
          <w:szCs w:val="24"/>
        </w:rPr>
        <w:t>March</w:t>
      </w:r>
      <w:r w:rsidR="008606F1" w:rsidRPr="00BE10CC">
        <w:rPr>
          <w:rFonts w:ascii="Arial" w:hAnsi="Arial" w:cs="Arial"/>
          <w:sz w:val="24"/>
          <w:szCs w:val="24"/>
        </w:rPr>
        <w:t xml:space="preserve"> 20</w:t>
      </w:r>
      <w:r w:rsidR="00D84714">
        <w:rPr>
          <w:rFonts w:ascii="Arial" w:hAnsi="Arial" w:cs="Arial"/>
          <w:sz w:val="24"/>
          <w:szCs w:val="24"/>
        </w:rPr>
        <w:t>2</w:t>
      </w:r>
      <w:r w:rsidR="000E0DDD">
        <w:rPr>
          <w:rFonts w:ascii="Arial" w:hAnsi="Arial" w:cs="Arial"/>
          <w:sz w:val="24"/>
          <w:szCs w:val="24"/>
        </w:rPr>
        <w:t>3</w:t>
      </w:r>
      <w:r w:rsidR="00326626" w:rsidRPr="00BE10CC">
        <w:rPr>
          <w:rFonts w:ascii="Arial" w:hAnsi="Arial" w:cs="Arial"/>
          <w:sz w:val="24"/>
          <w:szCs w:val="24"/>
        </w:rPr>
        <w:t xml:space="preserve"> </w:t>
      </w:r>
      <w:r w:rsidRPr="00BE10CC">
        <w:rPr>
          <w:rFonts w:ascii="Arial" w:hAnsi="Arial" w:cs="Arial"/>
          <w:sz w:val="24"/>
          <w:szCs w:val="24"/>
        </w:rPr>
        <w:t xml:space="preserve">the PFCC’s Earmarked </w:t>
      </w:r>
      <w:r w:rsidRPr="009F54BF">
        <w:rPr>
          <w:rFonts w:ascii="Arial" w:hAnsi="Arial" w:cs="Arial"/>
          <w:sz w:val="24"/>
          <w:szCs w:val="24"/>
        </w:rPr>
        <w:t xml:space="preserve">Reserves </w:t>
      </w:r>
      <w:r w:rsidR="00D84714" w:rsidRPr="009F54BF">
        <w:rPr>
          <w:rFonts w:ascii="Arial" w:hAnsi="Arial" w:cs="Arial"/>
          <w:sz w:val="24"/>
          <w:szCs w:val="24"/>
        </w:rPr>
        <w:t>were</w:t>
      </w:r>
      <w:r w:rsidR="008606F1" w:rsidRPr="009F54BF">
        <w:rPr>
          <w:rFonts w:ascii="Arial" w:hAnsi="Arial" w:cs="Arial"/>
          <w:sz w:val="24"/>
          <w:szCs w:val="24"/>
        </w:rPr>
        <w:t xml:space="preserve"> £</w:t>
      </w:r>
      <w:r w:rsidR="00C7659B" w:rsidRPr="009F54BF">
        <w:rPr>
          <w:rFonts w:ascii="Arial" w:hAnsi="Arial" w:cs="Arial"/>
          <w:sz w:val="24"/>
          <w:szCs w:val="24"/>
        </w:rPr>
        <w:t>15.501</w:t>
      </w:r>
      <w:r w:rsidR="008606F1" w:rsidRPr="009F54BF">
        <w:rPr>
          <w:rFonts w:ascii="Arial" w:hAnsi="Arial" w:cs="Arial"/>
          <w:sz w:val="24"/>
          <w:szCs w:val="24"/>
        </w:rPr>
        <w:t>m.</w:t>
      </w:r>
      <w:r w:rsidR="008606F1" w:rsidRPr="00BE10CC">
        <w:rPr>
          <w:rFonts w:ascii="Arial" w:hAnsi="Arial" w:cs="Arial"/>
          <w:sz w:val="24"/>
          <w:szCs w:val="24"/>
        </w:rPr>
        <w:t xml:space="preserve"> </w:t>
      </w:r>
    </w:p>
    <w:p w14:paraId="26162D37" w14:textId="77777777" w:rsidR="001B43EB" w:rsidRPr="00BE10CC" w:rsidRDefault="001B43EB" w:rsidP="00BE10CC">
      <w:pPr>
        <w:pStyle w:val="ListParagraph"/>
        <w:rPr>
          <w:rFonts w:ascii="Arial" w:hAnsi="Arial" w:cs="Arial"/>
          <w:sz w:val="24"/>
          <w:szCs w:val="24"/>
        </w:rPr>
      </w:pPr>
    </w:p>
    <w:p w14:paraId="08E321B0" w14:textId="56857FB9" w:rsidR="00F66003" w:rsidRPr="00ED39E9" w:rsidRDefault="0090430E" w:rsidP="00D070F7">
      <w:pPr>
        <w:pStyle w:val="ListParagraph"/>
        <w:numPr>
          <w:ilvl w:val="1"/>
          <w:numId w:val="6"/>
        </w:numPr>
        <w:ind w:left="709" w:hanging="709"/>
        <w:rPr>
          <w:rFonts w:ascii="Arial" w:hAnsi="Arial" w:cs="Arial"/>
          <w:sz w:val="24"/>
          <w:szCs w:val="24"/>
        </w:rPr>
      </w:pPr>
      <w:r>
        <w:rPr>
          <w:rFonts w:ascii="Arial" w:hAnsi="Arial" w:cs="Arial"/>
          <w:sz w:val="24"/>
          <w:szCs w:val="24"/>
        </w:rPr>
        <w:t>The</w:t>
      </w:r>
      <w:r w:rsidR="00F66003" w:rsidRPr="00ED39E9">
        <w:rPr>
          <w:rFonts w:ascii="Arial" w:hAnsi="Arial" w:cs="Arial"/>
          <w:sz w:val="24"/>
          <w:szCs w:val="24"/>
        </w:rPr>
        <w:t xml:space="preserve"> PFCC </w:t>
      </w:r>
      <w:r w:rsidR="00ED39E9" w:rsidRPr="00ED39E9">
        <w:rPr>
          <w:rFonts w:ascii="Arial" w:hAnsi="Arial" w:cs="Arial"/>
          <w:sz w:val="24"/>
          <w:szCs w:val="24"/>
        </w:rPr>
        <w:t xml:space="preserve">is </w:t>
      </w:r>
      <w:r w:rsidR="00F66003" w:rsidRPr="00ED39E9">
        <w:rPr>
          <w:rFonts w:ascii="Arial" w:hAnsi="Arial" w:cs="Arial"/>
          <w:sz w:val="24"/>
          <w:szCs w:val="24"/>
        </w:rPr>
        <w:t>forecast</w:t>
      </w:r>
      <w:r w:rsidR="00ED39E9" w:rsidRPr="00ED39E9">
        <w:rPr>
          <w:rFonts w:ascii="Arial" w:hAnsi="Arial" w:cs="Arial"/>
          <w:sz w:val="24"/>
          <w:szCs w:val="24"/>
        </w:rPr>
        <w:t>ing</w:t>
      </w:r>
      <w:r w:rsidR="00F66003" w:rsidRPr="00ED39E9">
        <w:rPr>
          <w:rFonts w:ascii="Arial" w:hAnsi="Arial" w:cs="Arial"/>
          <w:sz w:val="24"/>
          <w:szCs w:val="24"/>
        </w:rPr>
        <w:t xml:space="preserve"> a</w:t>
      </w:r>
      <w:r w:rsidR="00ED39E9" w:rsidRPr="00ED39E9">
        <w:rPr>
          <w:rFonts w:ascii="Arial" w:hAnsi="Arial" w:cs="Arial"/>
          <w:sz w:val="24"/>
          <w:szCs w:val="24"/>
        </w:rPr>
        <w:t>n</w:t>
      </w:r>
      <w:r w:rsidR="00F66003" w:rsidRPr="00ED39E9">
        <w:rPr>
          <w:rFonts w:ascii="Arial" w:hAnsi="Arial" w:cs="Arial"/>
          <w:sz w:val="24"/>
          <w:szCs w:val="24"/>
        </w:rPr>
        <w:t xml:space="preserve"> Earmarked Reserve </w:t>
      </w:r>
      <w:r w:rsidR="00F66003" w:rsidRPr="009F54BF">
        <w:rPr>
          <w:rFonts w:ascii="Arial" w:hAnsi="Arial" w:cs="Arial"/>
          <w:sz w:val="24"/>
          <w:szCs w:val="24"/>
        </w:rPr>
        <w:t>balance of £</w:t>
      </w:r>
      <w:r w:rsidR="000E38FD" w:rsidRPr="009F54BF">
        <w:rPr>
          <w:rFonts w:ascii="Arial" w:hAnsi="Arial" w:cs="Arial"/>
          <w:sz w:val="24"/>
          <w:szCs w:val="24"/>
        </w:rPr>
        <w:t>11.073</w:t>
      </w:r>
      <w:r w:rsidR="00F66003" w:rsidRPr="009F54BF">
        <w:rPr>
          <w:rFonts w:ascii="Arial" w:hAnsi="Arial" w:cs="Arial"/>
          <w:sz w:val="24"/>
          <w:szCs w:val="24"/>
        </w:rPr>
        <w:t xml:space="preserve">m at </w:t>
      </w:r>
      <w:r w:rsidRPr="009F54BF">
        <w:rPr>
          <w:rFonts w:ascii="Arial" w:hAnsi="Arial" w:cs="Arial"/>
          <w:sz w:val="24"/>
          <w:szCs w:val="24"/>
        </w:rPr>
        <w:t>31</w:t>
      </w:r>
      <w:r w:rsidR="00F66003" w:rsidRPr="00ED39E9">
        <w:rPr>
          <w:rFonts w:ascii="Arial" w:hAnsi="Arial" w:cs="Arial"/>
          <w:sz w:val="24"/>
          <w:szCs w:val="24"/>
        </w:rPr>
        <w:t xml:space="preserve"> </w:t>
      </w:r>
      <w:r>
        <w:rPr>
          <w:rFonts w:ascii="Arial" w:hAnsi="Arial" w:cs="Arial"/>
          <w:sz w:val="24"/>
          <w:szCs w:val="24"/>
        </w:rPr>
        <w:t>March</w:t>
      </w:r>
      <w:r w:rsidR="00F66003" w:rsidRPr="00ED39E9">
        <w:rPr>
          <w:rFonts w:ascii="Arial" w:hAnsi="Arial" w:cs="Arial"/>
          <w:sz w:val="24"/>
          <w:szCs w:val="24"/>
        </w:rPr>
        <w:t xml:space="preserve"> 20</w:t>
      </w:r>
      <w:r w:rsidR="00797363" w:rsidRPr="00ED39E9">
        <w:rPr>
          <w:rFonts w:ascii="Arial" w:hAnsi="Arial" w:cs="Arial"/>
          <w:sz w:val="24"/>
          <w:szCs w:val="24"/>
        </w:rPr>
        <w:t>2</w:t>
      </w:r>
      <w:r w:rsidR="000E0DDD">
        <w:rPr>
          <w:rFonts w:ascii="Arial" w:hAnsi="Arial" w:cs="Arial"/>
          <w:sz w:val="24"/>
          <w:szCs w:val="24"/>
        </w:rPr>
        <w:t>4</w:t>
      </w:r>
      <w:r w:rsidR="00F66003" w:rsidRPr="00ED39E9">
        <w:rPr>
          <w:rFonts w:ascii="Arial" w:hAnsi="Arial" w:cs="Arial"/>
          <w:sz w:val="24"/>
          <w:szCs w:val="24"/>
        </w:rPr>
        <w:t xml:space="preserve">. </w:t>
      </w:r>
    </w:p>
    <w:p w14:paraId="3DA1A701" w14:textId="44CE0625" w:rsidR="00F26C9B" w:rsidRPr="00797363" w:rsidRDefault="00797363" w:rsidP="00D070F7">
      <w:pPr>
        <w:pStyle w:val="ListParagraph"/>
        <w:ind w:left="709"/>
        <w:rPr>
          <w:rFonts w:ascii="Arial" w:hAnsi="Arial" w:cs="Arial"/>
          <w:sz w:val="24"/>
          <w:szCs w:val="24"/>
        </w:rPr>
      </w:pPr>
      <w:r>
        <w:rPr>
          <w:rFonts w:ascii="Arial" w:hAnsi="Arial" w:cs="Arial"/>
          <w:sz w:val="24"/>
          <w:szCs w:val="24"/>
        </w:rPr>
        <w:t xml:space="preserve"> </w:t>
      </w:r>
    </w:p>
    <w:p w14:paraId="64CC4837" w14:textId="11CB4DD2" w:rsidR="00997C06" w:rsidRDefault="00534836" w:rsidP="00D070F7">
      <w:pPr>
        <w:pStyle w:val="ListParagraph"/>
        <w:numPr>
          <w:ilvl w:val="1"/>
          <w:numId w:val="6"/>
        </w:numPr>
        <w:ind w:left="709" w:hanging="709"/>
        <w:rPr>
          <w:rFonts w:ascii="Arial" w:hAnsi="Arial" w:cs="Arial"/>
          <w:sz w:val="24"/>
          <w:szCs w:val="24"/>
        </w:rPr>
      </w:pPr>
      <w:r>
        <w:rPr>
          <w:rFonts w:ascii="Arial" w:hAnsi="Arial" w:cs="Arial"/>
          <w:sz w:val="24"/>
          <w:szCs w:val="24"/>
        </w:rPr>
        <w:t>D</w:t>
      </w:r>
      <w:r w:rsidR="00997C06">
        <w:rPr>
          <w:rFonts w:ascii="Arial" w:hAnsi="Arial" w:cs="Arial"/>
          <w:sz w:val="24"/>
          <w:szCs w:val="24"/>
        </w:rPr>
        <w:t xml:space="preserve">etail of the </w:t>
      </w:r>
      <w:r w:rsidR="005B58B1">
        <w:rPr>
          <w:rFonts w:ascii="Arial" w:hAnsi="Arial" w:cs="Arial"/>
          <w:sz w:val="24"/>
          <w:szCs w:val="24"/>
        </w:rPr>
        <w:t xml:space="preserve">forecast </w:t>
      </w:r>
      <w:r w:rsidR="00997C06">
        <w:rPr>
          <w:rFonts w:ascii="Arial" w:hAnsi="Arial" w:cs="Arial"/>
          <w:sz w:val="24"/>
          <w:szCs w:val="24"/>
        </w:rPr>
        <w:t xml:space="preserve">Reserves </w:t>
      </w:r>
      <w:r w:rsidR="005B58B1">
        <w:rPr>
          <w:rFonts w:ascii="Arial" w:hAnsi="Arial" w:cs="Arial"/>
          <w:sz w:val="24"/>
          <w:szCs w:val="24"/>
        </w:rPr>
        <w:t xml:space="preserve">at </w:t>
      </w:r>
      <w:r w:rsidR="0090430E">
        <w:rPr>
          <w:rFonts w:ascii="Arial" w:hAnsi="Arial" w:cs="Arial"/>
          <w:sz w:val="24"/>
          <w:szCs w:val="24"/>
        </w:rPr>
        <w:t>31</w:t>
      </w:r>
      <w:r w:rsidR="005B58B1">
        <w:rPr>
          <w:rFonts w:ascii="Arial" w:hAnsi="Arial" w:cs="Arial"/>
          <w:sz w:val="24"/>
          <w:szCs w:val="24"/>
        </w:rPr>
        <w:t xml:space="preserve"> </w:t>
      </w:r>
      <w:r w:rsidR="0090430E">
        <w:rPr>
          <w:rFonts w:ascii="Arial" w:hAnsi="Arial" w:cs="Arial"/>
          <w:sz w:val="24"/>
          <w:szCs w:val="24"/>
        </w:rPr>
        <w:t>March 202</w:t>
      </w:r>
      <w:r w:rsidR="000E0DDD">
        <w:rPr>
          <w:rFonts w:ascii="Arial" w:hAnsi="Arial" w:cs="Arial"/>
          <w:sz w:val="24"/>
          <w:szCs w:val="24"/>
        </w:rPr>
        <w:t>4</w:t>
      </w:r>
      <w:r w:rsidR="0090430E">
        <w:rPr>
          <w:rFonts w:ascii="Arial" w:hAnsi="Arial" w:cs="Arial"/>
          <w:sz w:val="24"/>
          <w:szCs w:val="24"/>
        </w:rPr>
        <w:t xml:space="preserve"> compared to 31 March 202</w:t>
      </w:r>
      <w:r w:rsidR="000E0DDD">
        <w:rPr>
          <w:rFonts w:ascii="Arial" w:hAnsi="Arial" w:cs="Arial"/>
          <w:sz w:val="24"/>
          <w:szCs w:val="24"/>
        </w:rPr>
        <w:t>3</w:t>
      </w:r>
      <w:r w:rsidR="0090430E">
        <w:rPr>
          <w:rFonts w:ascii="Arial" w:hAnsi="Arial" w:cs="Arial"/>
          <w:sz w:val="24"/>
          <w:szCs w:val="24"/>
        </w:rPr>
        <w:t>,</w:t>
      </w:r>
      <w:r w:rsidR="00997C06">
        <w:rPr>
          <w:rFonts w:ascii="Arial" w:hAnsi="Arial" w:cs="Arial"/>
          <w:sz w:val="24"/>
          <w:szCs w:val="24"/>
        </w:rPr>
        <w:t xml:space="preserve"> is shown in figure 1 below</w:t>
      </w:r>
      <w:r w:rsidR="00344462">
        <w:rPr>
          <w:rFonts w:ascii="Arial" w:hAnsi="Arial" w:cs="Arial"/>
          <w:sz w:val="24"/>
          <w:szCs w:val="24"/>
        </w:rPr>
        <w:t>.</w:t>
      </w:r>
    </w:p>
    <w:p w14:paraId="3DA101FB" w14:textId="52EA2F9B" w:rsidR="006022EA" w:rsidRDefault="006022EA" w:rsidP="006022EA">
      <w:pPr>
        <w:pStyle w:val="ListParagraph"/>
        <w:ind w:left="792"/>
        <w:jc w:val="both"/>
        <w:rPr>
          <w:rFonts w:ascii="Arial" w:hAnsi="Arial" w:cs="Arial"/>
          <w:sz w:val="24"/>
          <w:szCs w:val="24"/>
        </w:rPr>
      </w:pPr>
    </w:p>
    <w:p w14:paraId="4940C7F0" w14:textId="3B19F371" w:rsidR="00152E69" w:rsidRDefault="00CF5BD1" w:rsidP="00A74361">
      <w:pPr>
        <w:ind w:left="720"/>
      </w:pPr>
      <w:r w:rsidRPr="00CF5BD1">
        <w:t xml:space="preserve"> </w:t>
      </w:r>
      <w:r w:rsidR="00997C06" w:rsidRPr="006022EA">
        <w:rPr>
          <w:rFonts w:ascii="Arial" w:hAnsi="Arial" w:cs="Arial"/>
          <w:b/>
        </w:rPr>
        <w:t xml:space="preserve">Figure 1: </w:t>
      </w:r>
      <w:r w:rsidR="005B58B1" w:rsidRPr="006022EA">
        <w:rPr>
          <w:rFonts w:ascii="Arial" w:hAnsi="Arial" w:cs="Arial"/>
          <w:b/>
        </w:rPr>
        <w:t xml:space="preserve">Forecast </w:t>
      </w:r>
      <w:r w:rsidR="00CD52E0" w:rsidRPr="006022EA">
        <w:rPr>
          <w:rFonts w:ascii="Arial" w:hAnsi="Arial" w:cs="Arial"/>
          <w:b/>
        </w:rPr>
        <w:t>Reserves</w:t>
      </w:r>
      <w:r w:rsidR="00997C06" w:rsidRPr="006022EA">
        <w:rPr>
          <w:rFonts w:ascii="Arial" w:hAnsi="Arial" w:cs="Arial"/>
          <w:b/>
        </w:rPr>
        <w:t xml:space="preserve"> </w:t>
      </w:r>
      <w:r w:rsidR="00534836" w:rsidRPr="006022EA">
        <w:rPr>
          <w:rFonts w:ascii="Arial" w:hAnsi="Arial" w:cs="Arial"/>
          <w:b/>
        </w:rPr>
        <w:t>31 March 202</w:t>
      </w:r>
      <w:r w:rsidR="000E0DDD">
        <w:rPr>
          <w:rFonts w:ascii="Arial" w:hAnsi="Arial" w:cs="Arial"/>
          <w:b/>
        </w:rPr>
        <w:t>4</w:t>
      </w:r>
      <w:r w:rsidR="00534836" w:rsidRPr="006022EA">
        <w:rPr>
          <w:rFonts w:ascii="Arial" w:hAnsi="Arial" w:cs="Arial"/>
          <w:b/>
        </w:rPr>
        <w:t xml:space="preserve"> compared to </w:t>
      </w:r>
      <w:r w:rsidR="00BF4342">
        <w:rPr>
          <w:rFonts w:ascii="Arial" w:hAnsi="Arial" w:cs="Arial"/>
          <w:b/>
        </w:rPr>
        <w:t xml:space="preserve">actual reserves </w:t>
      </w:r>
      <w:r w:rsidR="00534836" w:rsidRPr="006022EA">
        <w:rPr>
          <w:rFonts w:ascii="Arial" w:hAnsi="Arial" w:cs="Arial"/>
          <w:b/>
        </w:rPr>
        <w:t>31 March 202</w:t>
      </w:r>
      <w:r w:rsidR="000E0DDD">
        <w:rPr>
          <w:rFonts w:ascii="Arial" w:hAnsi="Arial" w:cs="Arial"/>
          <w:b/>
        </w:rPr>
        <w:t>3</w:t>
      </w:r>
      <w:r w:rsidR="0090588F">
        <w:rPr>
          <w:rFonts w:ascii="Arial" w:hAnsi="Arial" w:cs="Arial"/>
          <w:b/>
        </w:rPr>
        <w:t xml:space="preserve"> (as at month 10)</w:t>
      </w:r>
      <w:r w:rsidR="00534836" w:rsidRPr="006022EA">
        <w:rPr>
          <w:rFonts w:ascii="Arial" w:hAnsi="Arial" w:cs="Arial"/>
          <w:b/>
        </w:rPr>
        <w:t>.</w:t>
      </w:r>
      <w:r w:rsidR="00997C06" w:rsidRPr="006022EA">
        <w:t xml:space="preserve"> </w:t>
      </w:r>
    </w:p>
    <w:p w14:paraId="1E9145DB" w14:textId="41A6B0F5" w:rsidR="00892439" w:rsidRDefault="006B6CBD" w:rsidP="00892439">
      <w:pPr>
        <w:ind w:left="720"/>
      </w:pPr>
      <w:r w:rsidRPr="006B6CBD">
        <w:rPr>
          <w:noProof/>
        </w:rPr>
        <w:drawing>
          <wp:inline distT="0" distB="0" distL="0" distR="0" wp14:anchorId="5766FD13" wp14:editId="48DC2C92">
            <wp:extent cx="5556250" cy="3848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0" cy="3848100"/>
                    </a:xfrm>
                    <a:prstGeom prst="rect">
                      <a:avLst/>
                    </a:prstGeom>
                    <a:noFill/>
                    <a:ln>
                      <a:noFill/>
                    </a:ln>
                  </pic:spPr>
                </pic:pic>
              </a:graphicData>
            </a:graphic>
          </wp:inline>
        </w:drawing>
      </w:r>
    </w:p>
    <w:p w14:paraId="0C3CCDA4" w14:textId="43116A6B" w:rsidR="006022EA" w:rsidRDefault="00141657" w:rsidP="00A74361">
      <w:pPr>
        <w:ind w:left="720"/>
        <w:rPr>
          <w:rFonts w:ascii="Arial" w:hAnsi="Arial" w:cs="Arial"/>
          <w:bCs/>
          <w:i/>
          <w:iCs/>
          <w:sz w:val="24"/>
          <w:szCs w:val="24"/>
        </w:rPr>
      </w:pPr>
      <w:r w:rsidRPr="00521001">
        <w:rPr>
          <w:rFonts w:ascii="Arial" w:hAnsi="Arial" w:cs="Arial"/>
          <w:bCs/>
          <w:i/>
          <w:iCs/>
          <w:sz w:val="20"/>
          <w:szCs w:val="20"/>
        </w:rPr>
        <w:t xml:space="preserve">Paragraph </w:t>
      </w:r>
      <w:r w:rsidR="0081418B">
        <w:rPr>
          <w:rFonts w:ascii="Arial" w:hAnsi="Arial" w:cs="Arial"/>
          <w:bCs/>
          <w:i/>
          <w:iCs/>
          <w:sz w:val="20"/>
          <w:szCs w:val="20"/>
        </w:rPr>
        <w:t>6</w:t>
      </w:r>
      <w:r w:rsidRPr="00521001">
        <w:rPr>
          <w:rFonts w:ascii="Arial" w:hAnsi="Arial" w:cs="Arial"/>
          <w:bCs/>
          <w:i/>
          <w:iCs/>
          <w:sz w:val="20"/>
          <w:szCs w:val="20"/>
        </w:rPr>
        <w:t xml:space="preserve">.4 </w:t>
      </w:r>
      <w:r w:rsidR="00152E69">
        <w:rPr>
          <w:rFonts w:ascii="Arial" w:hAnsi="Arial" w:cs="Arial"/>
          <w:bCs/>
          <w:i/>
          <w:iCs/>
          <w:sz w:val="20"/>
          <w:szCs w:val="20"/>
        </w:rPr>
        <w:t>describes each</w:t>
      </w:r>
      <w:r w:rsidRPr="00521001">
        <w:rPr>
          <w:rFonts w:ascii="Arial" w:hAnsi="Arial" w:cs="Arial"/>
          <w:bCs/>
          <w:i/>
          <w:iCs/>
          <w:sz w:val="20"/>
          <w:szCs w:val="20"/>
        </w:rPr>
        <w:t xml:space="preserve"> reserve </w:t>
      </w:r>
      <w:r w:rsidR="00152E69">
        <w:rPr>
          <w:rFonts w:ascii="Arial" w:hAnsi="Arial" w:cs="Arial"/>
          <w:bCs/>
          <w:i/>
          <w:iCs/>
          <w:sz w:val="20"/>
          <w:szCs w:val="20"/>
        </w:rPr>
        <w:t xml:space="preserve">by the </w:t>
      </w:r>
      <w:r w:rsidR="008F592D" w:rsidRPr="00521001">
        <w:rPr>
          <w:rFonts w:ascii="Arial" w:hAnsi="Arial" w:cs="Arial"/>
          <w:bCs/>
          <w:i/>
          <w:iCs/>
          <w:sz w:val="20"/>
          <w:szCs w:val="20"/>
        </w:rPr>
        <w:t>number</w:t>
      </w:r>
      <w:r w:rsidR="00152E69">
        <w:rPr>
          <w:rFonts w:ascii="Arial" w:hAnsi="Arial" w:cs="Arial"/>
          <w:bCs/>
          <w:i/>
          <w:iCs/>
          <w:sz w:val="20"/>
          <w:szCs w:val="20"/>
        </w:rPr>
        <w:t>ing</w:t>
      </w:r>
      <w:r w:rsidR="008F592D" w:rsidRPr="00521001">
        <w:rPr>
          <w:rFonts w:ascii="Arial" w:hAnsi="Arial" w:cs="Arial"/>
          <w:bCs/>
          <w:i/>
          <w:iCs/>
          <w:sz w:val="20"/>
          <w:szCs w:val="20"/>
        </w:rPr>
        <w:t xml:space="preserve"> in the above table</w:t>
      </w:r>
      <w:r>
        <w:rPr>
          <w:rFonts w:ascii="Arial" w:hAnsi="Arial" w:cs="Arial"/>
          <w:bCs/>
          <w:i/>
          <w:iCs/>
          <w:sz w:val="24"/>
          <w:szCs w:val="24"/>
        </w:rPr>
        <w:t>.</w:t>
      </w:r>
      <w:r w:rsidRPr="00141657">
        <w:rPr>
          <w:rFonts w:ascii="Arial" w:hAnsi="Arial" w:cs="Arial"/>
          <w:bCs/>
          <w:i/>
          <w:iCs/>
          <w:sz w:val="24"/>
          <w:szCs w:val="24"/>
        </w:rPr>
        <w:t xml:space="preserve"> </w:t>
      </w:r>
    </w:p>
    <w:p w14:paraId="675866AA" w14:textId="38FD89D2" w:rsidR="00514A7F" w:rsidRPr="00141657" w:rsidRDefault="00514A7F" w:rsidP="00A74361">
      <w:pPr>
        <w:ind w:left="720"/>
        <w:rPr>
          <w:rFonts w:ascii="Arial" w:hAnsi="Arial" w:cs="Arial"/>
          <w:bCs/>
          <w:i/>
          <w:iCs/>
          <w:sz w:val="24"/>
          <w:szCs w:val="24"/>
        </w:rPr>
      </w:pPr>
      <w:r>
        <w:rPr>
          <w:rFonts w:ascii="Arial" w:hAnsi="Arial" w:cs="Arial"/>
          <w:sz w:val="24"/>
          <w:szCs w:val="24"/>
        </w:rPr>
        <w:t>Note: The above figures for 31</w:t>
      </w:r>
      <w:r w:rsidRPr="0014177B">
        <w:rPr>
          <w:rFonts w:ascii="Arial" w:hAnsi="Arial" w:cs="Arial"/>
          <w:sz w:val="24"/>
          <w:szCs w:val="24"/>
          <w:vertAlign w:val="superscript"/>
        </w:rPr>
        <w:t>st</w:t>
      </w:r>
      <w:r>
        <w:rPr>
          <w:rFonts w:ascii="Arial" w:hAnsi="Arial" w:cs="Arial"/>
          <w:sz w:val="24"/>
          <w:szCs w:val="24"/>
        </w:rPr>
        <w:t xml:space="preserve"> March 2023 are based on the published unaudited accounts and therefore subject to change.</w:t>
      </w:r>
    </w:p>
    <w:p w14:paraId="2BE12167" w14:textId="77777777" w:rsidR="00525E16" w:rsidRPr="00525E16" w:rsidRDefault="001C549D" w:rsidP="00D070F7">
      <w:pPr>
        <w:pStyle w:val="ListParagraph"/>
        <w:numPr>
          <w:ilvl w:val="1"/>
          <w:numId w:val="6"/>
        </w:numPr>
        <w:ind w:left="709" w:hanging="709"/>
        <w:rPr>
          <w:rFonts w:ascii="Arial" w:hAnsi="Arial" w:cs="Arial"/>
          <w:b/>
          <w:bCs/>
          <w:sz w:val="8"/>
          <w:szCs w:val="8"/>
        </w:rPr>
      </w:pPr>
      <w:r w:rsidRPr="00D070F7">
        <w:rPr>
          <w:rFonts w:ascii="Arial" w:hAnsi="Arial" w:cs="Arial"/>
          <w:b/>
          <w:bCs/>
          <w:sz w:val="24"/>
          <w:szCs w:val="24"/>
        </w:rPr>
        <w:t xml:space="preserve">Detail </w:t>
      </w:r>
      <w:r w:rsidR="006022EA" w:rsidRPr="00D070F7">
        <w:rPr>
          <w:rFonts w:ascii="Arial" w:hAnsi="Arial" w:cs="Arial"/>
          <w:b/>
          <w:bCs/>
          <w:sz w:val="24"/>
          <w:szCs w:val="24"/>
        </w:rPr>
        <w:t>of the Reserves</w:t>
      </w:r>
    </w:p>
    <w:p w14:paraId="260508D3" w14:textId="7F5646A5" w:rsidR="006022EA" w:rsidRPr="004D1DC5" w:rsidRDefault="00A74361" w:rsidP="00525E16">
      <w:pPr>
        <w:pStyle w:val="ListParagraph"/>
        <w:ind w:left="709"/>
        <w:rPr>
          <w:rFonts w:ascii="Arial" w:hAnsi="Arial" w:cs="Arial"/>
          <w:b/>
          <w:bCs/>
          <w:sz w:val="8"/>
          <w:szCs w:val="8"/>
        </w:rPr>
      </w:pPr>
      <w:r w:rsidRPr="004D1DC5">
        <w:rPr>
          <w:rFonts w:ascii="Arial" w:hAnsi="Arial" w:cs="Arial"/>
          <w:b/>
          <w:bCs/>
          <w:sz w:val="8"/>
          <w:szCs w:val="8"/>
        </w:rPr>
        <w:br/>
      </w:r>
    </w:p>
    <w:p w14:paraId="72A69F11" w14:textId="111D587C" w:rsidR="009F7C67" w:rsidRDefault="00C41414" w:rsidP="00D070F7">
      <w:pPr>
        <w:spacing w:after="0"/>
        <w:ind w:left="709"/>
        <w:rPr>
          <w:rFonts w:ascii="Arial" w:hAnsi="Arial" w:cs="Arial"/>
          <w:bCs/>
          <w:sz w:val="24"/>
          <w:szCs w:val="24"/>
        </w:rPr>
      </w:pPr>
      <w:bookmarkStart w:id="1" w:name="_Hlk127916601"/>
      <w:r w:rsidRPr="004653A0">
        <w:rPr>
          <w:rFonts w:ascii="Arial" w:hAnsi="Arial" w:cs="Arial"/>
          <w:b/>
          <w:sz w:val="24"/>
          <w:szCs w:val="24"/>
        </w:rPr>
        <w:t>Note 1</w:t>
      </w:r>
      <w:r w:rsidRPr="004653A0">
        <w:rPr>
          <w:rFonts w:ascii="Arial" w:hAnsi="Arial" w:cs="Arial"/>
          <w:bCs/>
          <w:sz w:val="24"/>
          <w:szCs w:val="24"/>
        </w:rPr>
        <w:t xml:space="preserve"> </w:t>
      </w:r>
      <w:bookmarkEnd w:id="1"/>
      <w:r w:rsidR="009F7C67" w:rsidRPr="004653A0">
        <w:rPr>
          <w:rFonts w:ascii="Arial" w:hAnsi="Arial" w:cs="Arial"/>
          <w:bCs/>
          <w:sz w:val="24"/>
          <w:szCs w:val="24"/>
        </w:rPr>
        <w:t>The PFCC Carry Forward Reserve represents amoun</w:t>
      </w:r>
      <w:r w:rsidR="001C549D" w:rsidRPr="004653A0">
        <w:rPr>
          <w:rFonts w:ascii="Arial" w:hAnsi="Arial" w:cs="Arial"/>
          <w:bCs/>
          <w:sz w:val="24"/>
          <w:szCs w:val="24"/>
        </w:rPr>
        <w:t>t</w:t>
      </w:r>
      <w:r w:rsidR="009F7C67" w:rsidRPr="004653A0">
        <w:rPr>
          <w:rFonts w:ascii="Arial" w:hAnsi="Arial" w:cs="Arial"/>
          <w:bCs/>
          <w:sz w:val="24"/>
          <w:szCs w:val="24"/>
        </w:rPr>
        <w:t xml:space="preserve">s carried forward from the </w:t>
      </w:r>
      <w:r w:rsidR="001F1224" w:rsidRPr="004653A0">
        <w:rPr>
          <w:rFonts w:ascii="Arial" w:hAnsi="Arial" w:cs="Arial"/>
          <w:bCs/>
          <w:sz w:val="24"/>
          <w:szCs w:val="24"/>
        </w:rPr>
        <w:t xml:space="preserve">previous </w:t>
      </w:r>
      <w:r w:rsidR="009F7C67" w:rsidRPr="004653A0">
        <w:rPr>
          <w:rFonts w:ascii="Arial" w:hAnsi="Arial" w:cs="Arial"/>
          <w:bCs/>
          <w:sz w:val="24"/>
          <w:szCs w:val="24"/>
        </w:rPr>
        <w:t xml:space="preserve">financial year to meet specific financial commitments, as approved by the </w:t>
      </w:r>
      <w:proofErr w:type="gramStart"/>
      <w:r w:rsidR="004653A0">
        <w:rPr>
          <w:rFonts w:ascii="Arial" w:hAnsi="Arial" w:cs="Arial"/>
          <w:bCs/>
          <w:sz w:val="24"/>
          <w:szCs w:val="24"/>
        </w:rPr>
        <w:t>PFCC</w:t>
      </w:r>
      <w:proofErr w:type="gramEnd"/>
    </w:p>
    <w:p w14:paraId="2DD8446C" w14:textId="77777777" w:rsidR="00393CB1" w:rsidRPr="00393CB1" w:rsidRDefault="00393CB1" w:rsidP="00D070F7">
      <w:pPr>
        <w:spacing w:after="0"/>
        <w:ind w:left="709"/>
        <w:rPr>
          <w:rFonts w:ascii="Arial" w:hAnsi="Arial" w:cs="Arial"/>
          <w:bCs/>
          <w:sz w:val="8"/>
          <w:szCs w:val="8"/>
        </w:rPr>
      </w:pPr>
    </w:p>
    <w:p w14:paraId="06DF9CF9" w14:textId="701DA7C8" w:rsidR="007857C8" w:rsidRDefault="00C41414" w:rsidP="00393CB1">
      <w:pPr>
        <w:spacing w:after="0"/>
        <w:ind w:left="709"/>
        <w:rPr>
          <w:rFonts w:ascii="Arial" w:hAnsi="Arial" w:cs="Arial"/>
          <w:b/>
          <w:sz w:val="24"/>
          <w:szCs w:val="24"/>
        </w:rPr>
      </w:pPr>
      <w:r w:rsidRPr="004653A0">
        <w:rPr>
          <w:rFonts w:ascii="Arial" w:hAnsi="Arial" w:cs="Arial"/>
          <w:b/>
          <w:sz w:val="24"/>
          <w:szCs w:val="24"/>
        </w:rPr>
        <w:t>Note 2</w:t>
      </w:r>
      <w:r w:rsidRPr="004653A0">
        <w:rPr>
          <w:rFonts w:ascii="Arial" w:hAnsi="Arial" w:cs="Arial"/>
          <w:bCs/>
          <w:sz w:val="24"/>
          <w:szCs w:val="24"/>
        </w:rPr>
        <w:t xml:space="preserve"> </w:t>
      </w:r>
      <w:r w:rsidR="009F7C67" w:rsidRPr="004653A0">
        <w:rPr>
          <w:rFonts w:ascii="Arial" w:hAnsi="Arial" w:cs="Arial"/>
          <w:bCs/>
          <w:sz w:val="24"/>
          <w:szCs w:val="24"/>
        </w:rPr>
        <w:t xml:space="preserve">The Chief Constable's Carry Forward Reserve represents amounts carried forward </w:t>
      </w:r>
      <w:r w:rsidR="001F1224" w:rsidRPr="004653A0">
        <w:rPr>
          <w:rFonts w:ascii="Arial" w:hAnsi="Arial" w:cs="Arial"/>
          <w:bCs/>
          <w:sz w:val="24"/>
          <w:szCs w:val="24"/>
        </w:rPr>
        <w:t xml:space="preserve">from the previous financial year </w:t>
      </w:r>
      <w:r w:rsidR="009F7C67" w:rsidRPr="004653A0">
        <w:rPr>
          <w:rFonts w:ascii="Arial" w:hAnsi="Arial" w:cs="Arial"/>
          <w:bCs/>
          <w:sz w:val="24"/>
          <w:szCs w:val="24"/>
        </w:rPr>
        <w:t xml:space="preserve">to meet specific financial commitments, as directly requested by the Chief Constable, and approved by the </w:t>
      </w:r>
      <w:r w:rsidR="004653A0">
        <w:rPr>
          <w:rFonts w:ascii="Arial" w:hAnsi="Arial" w:cs="Arial"/>
          <w:bCs/>
          <w:sz w:val="24"/>
          <w:szCs w:val="24"/>
        </w:rPr>
        <w:t>PFCC</w:t>
      </w:r>
      <w:r w:rsidR="001F1224" w:rsidRPr="004653A0">
        <w:rPr>
          <w:rFonts w:ascii="Arial" w:hAnsi="Arial" w:cs="Arial"/>
          <w:bCs/>
          <w:sz w:val="24"/>
          <w:szCs w:val="24"/>
        </w:rPr>
        <w:t>, and must not exceed £750k</w:t>
      </w:r>
      <w:r w:rsidR="009F7C67" w:rsidRPr="004653A0">
        <w:rPr>
          <w:rFonts w:ascii="Arial" w:hAnsi="Arial" w:cs="Arial"/>
          <w:bCs/>
          <w:sz w:val="24"/>
          <w:szCs w:val="24"/>
        </w:rPr>
        <w:t xml:space="preserve">. </w:t>
      </w:r>
      <w:bookmarkStart w:id="2" w:name="_Hlk127916659"/>
      <w:r w:rsidR="007857C8">
        <w:rPr>
          <w:rFonts w:ascii="Arial" w:hAnsi="Arial" w:cs="Arial"/>
          <w:b/>
          <w:sz w:val="24"/>
          <w:szCs w:val="24"/>
        </w:rPr>
        <w:br w:type="page"/>
      </w:r>
    </w:p>
    <w:p w14:paraId="06E9062D" w14:textId="5467F60E" w:rsidR="009F7C67" w:rsidRPr="00393CB1" w:rsidRDefault="00C41414" w:rsidP="002A24B1">
      <w:pPr>
        <w:spacing w:after="0"/>
        <w:ind w:left="709"/>
        <w:rPr>
          <w:rFonts w:ascii="Arial" w:hAnsi="Arial" w:cs="Arial"/>
          <w:bCs/>
          <w:sz w:val="8"/>
          <w:szCs w:val="8"/>
        </w:rPr>
      </w:pPr>
      <w:r w:rsidRPr="004653A0">
        <w:rPr>
          <w:rFonts w:ascii="Arial" w:hAnsi="Arial" w:cs="Arial"/>
          <w:b/>
          <w:sz w:val="24"/>
          <w:szCs w:val="24"/>
        </w:rPr>
        <w:lastRenderedPageBreak/>
        <w:t>Note 3</w:t>
      </w:r>
      <w:bookmarkEnd w:id="2"/>
      <w:r w:rsidRPr="004653A0">
        <w:rPr>
          <w:rFonts w:ascii="Arial" w:hAnsi="Arial" w:cs="Arial"/>
          <w:bCs/>
          <w:sz w:val="24"/>
          <w:szCs w:val="24"/>
        </w:rPr>
        <w:t xml:space="preserve"> </w:t>
      </w:r>
      <w:r w:rsidR="009F7C67" w:rsidRPr="004653A0">
        <w:rPr>
          <w:rFonts w:ascii="Arial" w:hAnsi="Arial" w:cs="Arial"/>
          <w:bCs/>
          <w:sz w:val="24"/>
          <w:szCs w:val="24"/>
        </w:rPr>
        <w:t xml:space="preserve">The Forfeiture Monies Reserve holds funds transferred to the PFCC </w:t>
      </w:r>
      <w:r w:rsidR="002E0500">
        <w:rPr>
          <w:rFonts w:ascii="Arial" w:hAnsi="Arial" w:cs="Arial"/>
          <w:bCs/>
          <w:sz w:val="24"/>
          <w:szCs w:val="24"/>
        </w:rPr>
        <w:t xml:space="preserve">as a result of seizures under </w:t>
      </w:r>
      <w:r w:rsidR="009F7C67" w:rsidRPr="004653A0">
        <w:rPr>
          <w:rFonts w:ascii="Arial" w:hAnsi="Arial" w:cs="Arial"/>
          <w:bCs/>
          <w:sz w:val="24"/>
          <w:szCs w:val="24"/>
        </w:rPr>
        <w:t xml:space="preserve">the Misuse of Drugs Act. These funds are subsequently transferred from the reserve into the Comprehensive Income &amp; Expenditure Statement in order to fund the costs of operations mounted to tackle drug related crime and drug abuse. </w:t>
      </w:r>
      <w:r w:rsidR="00D070F7">
        <w:rPr>
          <w:rFonts w:ascii="Arial" w:hAnsi="Arial" w:cs="Arial"/>
          <w:bCs/>
          <w:sz w:val="24"/>
          <w:szCs w:val="24"/>
        </w:rPr>
        <w:br/>
      </w:r>
    </w:p>
    <w:p w14:paraId="45D342E6" w14:textId="33575E43" w:rsidR="009F7C67" w:rsidRPr="00393CB1" w:rsidRDefault="00C41414" w:rsidP="002A24B1">
      <w:pPr>
        <w:spacing w:after="0"/>
        <w:ind w:left="709"/>
        <w:rPr>
          <w:rFonts w:ascii="Arial" w:hAnsi="Arial" w:cs="Arial"/>
          <w:bCs/>
          <w:sz w:val="8"/>
          <w:szCs w:val="8"/>
        </w:rPr>
      </w:pPr>
      <w:r w:rsidRPr="004653A0">
        <w:rPr>
          <w:rFonts w:ascii="Arial" w:hAnsi="Arial" w:cs="Arial"/>
          <w:b/>
          <w:sz w:val="24"/>
          <w:szCs w:val="24"/>
        </w:rPr>
        <w:t xml:space="preserve">Note 4 </w:t>
      </w:r>
      <w:r w:rsidR="009F7C67" w:rsidRPr="004653A0">
        <w:rPr>
          <w:rFonts w:ascii="Arial" w:hAnsi="Arial" w:cs="Arial"/>
          <w:bCs/>
          <w:sz w:val="24"/>
          <w:szCs w:val="24"/>
        </w:rPr>
        <w:t xml:space="preserve">The Transformation Reserve was created in 2015/16 and helps to fund the </w:t>
      </w:r>
      <w:proofErr w:type="gramStart"/>
      <w:r w:rsidR="009F7C67" w:rsidRPr="004653A0">
        <w:rPr>
          <w:rFonts w:ascii="Arial" w:hAnsi="Arial" w:cs="Arial"/>
          <w:bCs/>
          <w:sz w:val="24"/>
          <w:szCs w:val="24"/>
        </w:rPr>
        <w:t>one off</w:t>
      </w:r>
      <w:proofErr w:type="gramEnd"/>
      <w:r w:rsidR="009F7C67" w:rsidRPr="004653A0">
        <w:rPr>
          <w:rFonts w:ascii="Arial" w:hAnsi="Arial" w:cs="Arial"/>
          <w:bCs/>
          <w:sz w:val="24"/>
          <w:szCs w:val="24"/>
        </w:rPr>
        <w:t xml:space="preserve"> costs of implementing the Estates and IT Strategies. </w:t>
      </w:r>
      <w:r w:rsidR="00D070F7">
        <w:rPr>
          <w:rFonts w:ascii="Arial" w:hAnsi="Arial" w:cs="Arial"/>
          <w:bCs/>
          <w:sz w:val="24"/>
          <w:szCs w:val="24"/>
        </w:rPr>
        <w:br/>
      </w:r>
    </w:p>
    <w:p w14:paraId="5DCD86D2" w14:textId="39C80EC0" w:rsidR="009F7C67" w:rsidRPr="00393CB1" w:rsidRDefault="00C41414" w:rsidP="002A24B1">
      <w:pPr>
        <w:spacing w:after="0"/>
        <w:ind w:left="709"/>
        <w:rPr>
          <w:rFonts w:ascii="Arial" w:hAnsi="Arial" w:cs="Arial"/>
          <w:bCs/>
          <w:sz w:val="10"/>
          <w:szCs w:val="10"/>
        </w:rPr>
      </w:pPr>
      <w:bookmarkStart w:id="3" w:name="_Hlk127916776"/>
      <w:r w:rsidRPr="004653A0">
        <w:rPr>
          <w:rFonts w:ascii="Arial" w:hAnsi="Arial" w:cs="Arial"/>
          <w:b/>
          <w:sz w:val="24"/>
          <w:szCs w:val="24"/>
        </w:rPr>
        <w:t>Note 5</w:t>
      </w:r>
      <w:bookmarkEnd w:id="3"/>
      <w:r w:rsidRPr="004653A0">
        <w:rPr>
          <w:rFonts w:ascii="Arial" w:hAnsi="Arial" w:cs="Arial"/>
          <w:bCs/>
          <w:sz w:val="24"/>
          <w:szCs w:val="24"/>
        </w:rPr>
        <w:t xml:space="preserve"> </w:t>
      </w:r>
      <w:r w:rsidR="009F7C67" w:rsidRPr="004653A0">
        <w:rPr>
          <w:rFonts w:ascii="Arial" w:hAnsi="Arial" w:cs="Arial"/>
          <w:bCs/>
          <w:sz w:val="24"/>
          <w:szCs w:val="24"/>
        </w:rPr>
        <w:t xml:space="preserve">The Operation Dagenham Maintenance Reserve funds the cost of minor repairs to a multi-occupancy building joined owned by the 7 Forces. The reserve represents the Essex share of this maintenance reserve. </w:t>
      </w:r>
      <w:r w:rsidR="00D070F7">
        <w:rPr>
          <w:rFonts w:ascii="Arial" w:hAnsi="Arial" w:cs="Arial"/>
          <w:bCs/>
          <w:sz w:val="24"/>
          <w:szCs w:val="24"/>
        </w:rPr>
        <w:br/>
      </w:r>
    </w:p>
    <w:p w14:paraId="6D166777" w14:textId="4AEAB07E" w:rsidR="009F7C67" w:rsidRPr="00393CB1" w:rsidRDefault="00C41414" w:rsidP="002A24B1">
      <w:pPr>
        <w:spacing w:after="0"/>
        <w:ind w:left="709"/>
        <w:rPr>
          <w:rFonts w:ascii="Arial" w:hAnsi="Arial" w:cs="Arial"/>
          <w:bCs/>
          <w:sz w:val="8"/>
          <w:szCs w:val="8"/>
        </w:rPr>
      </w:pPr>
      <w:bookmarkStart w:id="4" w:name="_Hlk127916815"/>
      <w:r w:rsidRPr="004653A0">
        <w:rPr>
          <w:rFonts w:ascii="Arial" w:hAnsi="Arial" w:cs="Arial"/>
          <w:b/>
          <w:sz w:val="24"/>
          <w:szCs w:val="24"/>
        </w:rPr>
        <w:t xml:space="preserve">Note 6 </w:t>
      </w:r>
      <w:bookmarkEnd w:id="4"/>
      <w:r w:rsidR="009F7C67" w:rsidRPr="004653A0">
        <w:rPr>
          <w:rFonts w:ascii="Arial" w:hAnsi="Arial" w:cs="Arial"/>
          <w:bCs/>
          <w:sz w:val="24"/>
          <w:szCs w:val="24"/>
        </w:rPr>
        <w:t>The Proceeds of Crime Act (POCA) Reserve holds receipts received through the Asset Recovery Incentive Scheme, to fund crime reduction</w:t>
      </w:r>
      <w:r w:rsidR="006F1804">
        <w:rPr>
          <w:rFonts w:ascii="Arial" w:hAnsi="Arial" w:cs="Arial"/>
          <w:bCs/>
          <w:sz w:val="24"/>
          <w:szCs w:val="24"/>
        </w:rPr>
        <w:t xml:space="preserve"> </w:t>
      </w:r>
      <w:r w:rsidR="009F7C67" w:rsidRPr="004653A0">
        <w:rPr>
          <w:rFonts w:ascii="Arial" w:hAnsi="Arial" w:cs="Arial"/>
          <w:bCs/>
          <w:sz w:val="24"/>
          <w:szCs w:val="24"/>
        </w:rPr>
        <w:t>related expenditure</w:t>
      </w:r>
      <w:r w:rsidR="001857A4">
        <w:rPr>
          <w:rFonts w:ascii="Arial" w:hAnsi="Arial" w:cs="Arial"/>
          <w:bCs/>
          <w:sz w:val="24"/>
          <w:szCs w:val="24"/>
        </w:rPr>
        <w:t xml:space="preserve"> including funding of Financial Investigator Officer posts</w:t>
      </w:r>
      <w:r w:rsidR="009F7C67" w:rsidRPr="004653A0">
        <w:rPr>
          <w:rFonts w:ascii="Arial" w:hAnsi="Arial" w:cs="Arial"/>
          <w:bCs/>
          <w:sz w:val="24"/>
          <w:szCs w:val="24"/>
        </w:rPr>
        <w:t xml:space="preserve">. </w:t>
      </w:r>
      <w:r w:rsidR="00D070F7">
        <w:rPr>
          <w:rFonts w:ascii="Arial" w:hAnsi="Arial" w:cs="Arial"/>
          <w:bCs/>
          <w:sz w:val="24"/>
          <w:szCs w:val="24"/>
        </w:rPr>
        <w:br/>
      </w:r>
    </w:p>
    <w:p w14:paraId="10185087" w14:textId="2881BC53" w:rsidR="009F7C67" w:rsidRPr="00393CB1" w:rsidRDefault="00C41414" w:rsidP="002A24B1">
      <w:pPr>
        <w:spacing w:after="0"/>
        <w:ind w:left="709"/>
        <w:rPr>
          <w:rFonts w:ascii="Arial" w:hAnsi="Arial" w:cs="Arial"/>
          <w:bCs/>
          <w:sz w:val="8"/>
          <w:szCs w:val="8"/>
        </w:rPr>
      </w:pPr>
      <w:bookmarkStart w:id="5" w:name="_Hlk127916852"/>
      <w:r w:rsidRPr="004653A0">
        <w:rPr>
          <w:rFonts w:ascii="Arial" w:hAnsi="Arial" w:cs="Arial"/>
          <w:b/>
          <w:sz w:val="24"/>
          <w:szCs w:val="24"/>
        </w:rPr>
        <w:t>Note 7</w:t>
      </w:r>
      <w:bookmarkEnd w:id="5"/>
      <w:r w:rsidRPr="004653A0">
        <w:rPr>
          <w:rFonts w:ascii="Arial" w:hAnsi="Arial" w:cs="Arial"/>
          <w:b/>
          <w:sz w:val="24"/>
          <w:szCs w:val="24"/>
        </w:rPr>
        <w:t xml:space="preserve"> </w:t>
      </w:r>
      <w:r w:rsidR="009F7C67" w:rsidRPr="004653A0">
        <w:rPr>
          <w:rFonts w:ascii="Arial" w:hAnsi="Arial" w:cs="Arial"/>
          <w:bCs/>
          <w:sz w:val="24"/>
          <w:szCs w:val="24"/>
        </w:rPr>
        <w:t xml:space="preserve">The </w:t>
      </w:r>
      <w:r w:rsidR="00152E69">
        <w:rPr>
          <w:rFonts w:ascii="Arial" w:hAnsi="Arial" w:cs="Arial"/>
          <w:bCs/>
          <w:sz w:val="24"/>
          <w:szCs w:val="24"/>
        </w:rPr>
        <w:t xml:space="preserve">Restructure </w:t>
      </w:r>
      <w:r w:rsidR="009505F2">
        <w:rPr>
          <w:rFonts w:ascii="Arial" w:hAnsi="Arial" w:cs="Arial"/>
          <w:bCs/>
          <w:sz w:val="24"/>
          <w:szCs w:val="24"/>
        </w:rPr>
        <w:t>R</w:t>
      </w:r>
      <w:r w:rsidR="009F7C67" w:rsidRPr="004653A0">
        <w:rPr>
          <w:rFonts w:ascii="Arial" w:hAnsi="Arial" w:cs="Arial"/>
          <w:bCs/>
          <w:sz w:val="24"/>
          <w:szCs w:val="24"/>
        </w:rPr>
        <w:t xml:space="preserve">eserve was created in 2014/15 to help fund the </w:t>
      </w:r>
      <w:r w:rsidR="00EF32BC">
        <w:rPr>
          <w:rFonts w:ascii="Arial" w:hAnsi="Arial" w:cs="Arial"/>
          <w:bCs/>
          <w:sz w:val="24"/>
          <w:szCs w:val="24"/>
        </w:rPr>
        <w:t xml:space="preserve">one-off </w:t>
      </w:r>
      <w:r w:rsidR="009F7C67" w:rsidRPr="004653A0">
        <w:rPr>
          <w:rFonts w:ascii="Arial" w:hAnsi="Arial" w:cs="Arial"/>
          <w:bCs/>
          <w:sz w:val="24"/>
          <w:szCs w:val="24"/>
        </w:rPr>
        <w:t>cost</w:t>
      </w:r>
      <w:r w:rsidR="00EF32BC">
        <w:rPr>
          <w:rFonts w:ascii="Arial" w:hAnsi="Arial" w:cs="Arial"/>
          <w:bCs/>
          <w:sz w:val="24"/>
          <w:szCs w:val="24"/>
        </w:rPr>
        <w:t>s</w:t>
      </w:r>
      <w:r w:rsidR="009F7C67" w:rsidRPr="004653A0">
        <w:rPr>
          <w:rFonts w:ascii="Arial" w:hAnsi="Arial" w:cs="Arial"/>
          <w:bCs/>
          <w:sz w:val="24"/>
          <w:szCs w:val="24"/>
        </w:rPr>
        <w:t xml:space="preserve"> </w:t>
      </w:r>
      <w:r w:rsidR="00EF32BC">
        <w:rPr>
          <w:rFonts w:ascii="Arial" w:hAnsi="Arial" w:cs="Arial"/>
          <w:bCs/>
          <w:sz w:val="24"/>
          <w:szCs w:val="24"/>
        </w:rPr>
        <w:t>associated with redundancies</w:t>
      </w:r>
      <w:r w:rsidR="009F7C67" w:rsidRPr="004653A0">
        <w:rPr>
          <w:rFonts w:ascii="Arial" w:hAnsi="Arial" w:cs="Arial"/>
          <w:bCs/>
          <w:sz w:val="24"/>
          <w:szCs w:val="24"/>
        </w:rPr>
        <w:t xml:space="preserve">. </w:t>
      </w:r>
      <w:r w:rsidR="00D070F7">
        <w:rPr>
          <w:rFonts w:ascii="Arial" w:hAnsi="Arial" w:cs="Arial"/>
          <w:bCs/>
          <w:sz w:val="24"/>
          <w:szCs w:val="24"/>
        </w:rPr>
        <w:br/>
      </w:r>
    </w:p>
    <w:p w14:paraId="3E34CD58" w14:textId="7DFF9F5D" w:rsidR="009F7C67" w:rsidRPr="00393CB1" w:rsidRDefault="00C41414" w:rsidP="002A24B1">
      <w:pPr>
        <w:spacing w:after="0"/>
        <w:ind w:left="709"/>
        <w:rPr>
          <w:rFonts w:ascii="Arial" w:hAnsi="Arial" w:cs="Arial"/>
          <w:bCs/>
          <w:sz w:val="8"/>
          <w:szCs w:val="8"/>
        </w:rPr>
      </w:pPr>
      <w:bookmarkStart w:id="6" w:name="_Hlk127916883"/>
      <w:r w:rsidRPr="004653A0">
        <w:rPr>
          <w:rFonts w:ascii="Arial" w:hAnsi="Arial" w:cs="Arial"/>
          <w:b/>
          <w:sz w:val="24"/>
          <w:szCs w:val="24"/>
        </w:rPr>
        <w:t>Note 8</w:t>
      </w:r>
      <w:bookmarkEnd w:id="6"/>
      <w:r w:rsidRPr="004653A0">
        <w:rPr>
          <w:rFonts w:ascii="Arial" w:hAnsi="Arial" w:cs="Arial"/>
          <w:b/>
          <w:sz w:val="24"/>
          <w:szCs w:val="24"/>
        </w:rPr>
        <w:t xml:space="preserve"> </w:t>
      </w:r>
      <w:r w:rsidR="001C549D" w:rsidRPr="004653A0">
        <w:rPr>
          <w:rFonts w:ascii="Arial" w:hAnsi="Arial" w:cs="Arial"/>
          <w:bCs/>
          <w:sz w:val="24"/>
          <w:szCs w:val="24"/>
        </w:rPr>
        <w:t>T</w:t>
      </w:r>
      <w:r w:rsidR="009F7C67" w:rsidRPr="004653A0">
        <w:rPr>
          <w:rFonts w:ascii="Arial" w:hAnsi="Arial" w:cs="Arial"/>
          <w:bCs/>
          <w:sz w:val="24"/>
          <w:szCs w:val="24"/>
        </w:rPr>
        <w:t xml:space="preserve">he Major Operational Reserve was created in 2016/17 to fund in-year shortfalls on major incidents not reimbursed by the Home Office. </w:t>
      </w:r>
      <w:r w:rsidR="00D070F7">
        <w:rPr>
          <w:rFonts w:ascii="Arial" w:hAnsi="Arial" w:cs="Arial"/>
          <w:bCs/>
          <w:sz w:val="24"/>
          <w:szCs w:val="24"/>
        </w:rPr>
        <w:br/>
      </w:r>
    </w:p>
    <w:p w14:paraId="1E76B667" w14:textId="4123A723" w:rsidR="009F7C67" w:rsidRPr="00393CB1" w:rsidRDefault="00C41414" w:rsidP="00226E84">
      <w:pPr>
        <w:spacing w:after="0"/>
        <w:ind w:left="709"/>
        <w:rPr>
          <w:rFonts w:ascii="Arial" w:hAnsi="Arial" w:cs="Arial"/>
          <w:bCs/>
          <w:sz w:val="8"/>
          <w:szCs w:val="8"/>
        </w:rPr>
      </w:pPr>
      <w:r w:rsidRPr="004653A0">
        <w:rPr>
          <w:rFonts w:ascii="Arial" w:hAnsi="Arial" w:cs="Arial"/>
          <w:b/>
          <w:sz w:val="24"/>
          <w:szCs w:val="24"/>
        </w:rPr>
        <w:t xml:space="preserve">Note 9 </w:t>
      </w:r>
      <w:r w:rsidR="009F7C67" w:rsidRPr="004653A0">
        <w:rPr>
          <w:rFonts w:ascii="Arial" w:hAnsi="Arial" w:cs="Arial"/>
          <w:bCs/>
          <w:sz w:val="24"/>
          <w:szCs w:val="24"/>
        </w:rPr>
        <w:t xml:space="preserve">The Legal Claims Reserve was originally created in 2016/17 to fund one-off costs of future legal claims. </w:t>
      </w:r>
      <w:bookmarkStart w:id="7" w:name="_Hlk128057758"/>
      <w:r w:rsidR="00D070F7">
        <w:rPr>
          <w:rFonts w:ascii="Arial" w:hAnsi="Arial" w:cs="Arial"/>
          <w:bCs/>
          <w:sz w:val="24"/>
          <w:szCs w:val="24"/>
        </w:rPr>
        <w:br/>
      </w:r>
    </w:p>
    <w:p w14:paraId="106FB131" w14:textId="28D4F1FA" w:rsidR="00C41F1E" w:rsidRPr="00393CB1" w:rsidRDefault="004653A0" w:rsidP="00226E84">
      <w:pPr>
        <w:spacing w:after="0"/>
        <w:ind w:left="709"/>
        <w:rPr>
          <w:rFonts w:ascii="Arial" w:hAnsi="Arial" w:cs="Arial"/>
          <w:bCs/>
          <w:sz w:val="8"/>
          <w:szCs w:val="8"/>
        </w:rPr>
      </w:pPr>
      <w:bookmarkStart w:id="8" w:name="_Hlk127918245"/>
      <w:bookmarkEnd w:id="7"/>
      <w:r w:rsidRPr="004653A0">
        <w:rPr>
          <w:rFonts w:ascii="Arial" w:hAnsi="Arial" w:cs="Arial"/>
          <w:b/>
          <w:sz w:val="24"/>
          <w:szCs w:val="24"/>
        </w:rPr>
        <w:t>Note 1</w:t>
      </w:r>
      <w:r w:rsidR="00226E84">
        <w:rPr>
          <w:rFonts w:ascii="Arial" w:hAnsi="Arial" w:cs="Arial"/>
          <w:b/>
          <w:sz w:val="24"/>
          <w:szCs w:val="24"/>
        </w:rPr>
        <w:t>0</w:t>
      </w:r>
      <w:r w:rsidRPr="004653A0">
        <w:rPr>
          <w:rFonts w:ascii="Arial" w:hAnsi="Arial" w:cs="Arial"/>
          <w:b/>
          <w:sz w:val="24"/>
          <w:szCs w:val="24"/>
        </w:rPr>
        <w:t xml:space="preserve"> </w:t>
      </w:r>
      <w:bookmarkEnd w:id="8"/>
      <w:r w:rsidR="009F7C67" w:rsidRPr="004653A0">
        <w:rPr>
          <w:rFonts w:ascii="Arial" w:hAnsi="Arial" w:cs="Arial"/>
          <w:bCs/>
          <w:sz w:val="24"/>
          <w:szCs w:val="24"/>
        </w:rPr>
        <w:t xml:space="preserve">The Policing Education Qualification Framework (PEQF) is </w:t>
      </w:r>
      <w:r w:rsidR="001F1224" w:rsidRPr="004653A0">
        <w:rPr>
          <w:rFonts w:ascii="Arial" w:hAnsi="Arial" w:cs="Arial"/>
          <w:bCs/>
          <w:sz w:val="24"/>
          <w:szCs w:val="24"/>
        </w:rPr>
        <w:t>the</w:t>
      </w:r>
      <w:r w:rsidR="009F7C67" w:rsidRPr="004653A0">
        <w:rPr>
          <w:rFonts w:ascii="Arial" w:hAnsi="Arial" w:cs="Arial"/>
          <w:bCs/>
          <w:sz w:val="24"/>
          <w:szCs w:val="24"/>
        </w:rPr>
        <w:t xml:space="preserve"> framework for the education of police officers and police staff. This reserve was created in 2019/20 to fund one-off costs for the introduction of this training programme.</w:t>
      </w:r>
      <w:r w:rsidR="00D070F7">
        <w:rPr>
          <w:rFonts w:ascii="Arial" w:hAnsi="Arial" w:cs="Arial"/>
          <w:bCs/>
          <w:sz w:val="24"/>
          <w:szCs w:val="24"/>
        </w:rPr>
        <w:br/>
      </w:r>
    </w:p>
    <w:p w14:paraId="074B1B0B" w14:textId="77777777" w:rsidR="00226E84" w:rsidRDefault="004653A0" w:rsidP="002A24B1">
      <w:pPr>
        <w:spacing w:after="0"/>
        <w:ind w:left="709"/>
        <w:rPr>
          <w:rFonts w:ascii="Arial" w:hAnsi="Arial" w:cs="Arial"/>
          <w:bCs/>
          <w:sz w:val="24"/>
          <w:szCs w:val="24"/>
        </w:rPr>
      </w:pPr>
      <w:r w:rsidRPr="004653A0">
        <w:rPr>
          <w:rFonts w:ascii="Arial" w:hAnsi="Arial" w:cs="Arial"/>
          <w:b/>
          <w:sz w:val="24"/>
          <w:szCs w:val="24"/>
        </w:rPr>
        <w:t>Note 1</w:t>
      </w:r>
      <w:r w:rsidR="00226E84">
        <w:rPr>
          <w:rFonts w:ascii="Arial" w:hAnsi="Arial" w:cs="Arial"/>
          <w:b/>
          <w:sz w:val="24"/>
          <w:szCs w:val="24"/>
        </w:rPr>
        <w:t>1</w:t>
      </w:r>
      <w:r w:rsidRPr="004653A0">
        <w:rPr>
          <w:rFonts w:ascii="Arial" w:hAnsi="Arial" w:cs="Arial"/>
          <w:b/>
          <w:sz w:val="24"/>
          <w:szCs w:val="24"/>
        </w:rPr>
        <w:t xml:space="preserve"> </w:t>
      </w:r>
      <w:r w:rsidR="0016446A" w:rsidRPr="004653A0">
        <w:rPr>
          <w:rFonts w:ascii="Arial" w:hAnsi="Arial" w:cs="Arial"/>
          <w:bCs/>
          <w:sz w:val="24"/>
          <w:szCs w:val="24"/>
        </w:rPr>
        <w:t xml:space="preserve">The Restricted Grant Reserve is used for unspent balances of grants received for specific purposes which have yet to be fully utilised. </w:t>
      </w:r>
      <w:r w:rsidR="006F1804">
        <w:rPr>
          <w:rFonts w:ascii="Arial" w:hAnsi="Arial" w:cs="Arial"/>
          <w:bCs/>
          <w:sz w:val="24"/>
          <w:szCs w:val="24"/>
        </w:rPr>
        <w:t>The r</w:t>
      </w:r>
      <w:r w:rsidR="00A876DD">
        <w:rPr>
          <w:rFonts w:ascii="Arial" w:hAnsi="Arial" w:cs="Arial"/>
          <w:bCs/>
          <w:sz w:val="24"/>
          <w:szCs w:val="24"/>
        </w:rPr>
        <w:t>eserve was created in 2021/22.</w:t>
      </w:r>
    </w:p>
    <w:p w14:paraId="09C9D5B9" w14:textId="2F411FBF" w:rsidR="00771CCC" w:rsidRPr="00226E84" w:rsidRDefault="00226E84" w:rsidP="00226E84">
      <w:pPr>
        <w:pStyle w:val="ListParagraph"/>
        <w:ind w:left="709"/>
        <w:jc w:val="both"/>
        <w:rPr>
          <w:rFonts w:ascii="Arial" w:hAnsi="Arial" w:cs="Arial"/>
          <w:sz w:val="24"/>
          <w:szCs w:val="24"/>
        </w:rPr>
      </w:pPr>
      <w:r w:rsidRPr="004653A0">
        <w:rPr>
          <w:rFonts w:ascii="Arial" w:hAnsi="Arial" w:cs="Arial"/>
          <w:b/>
          <w:sz w:val="24"/>
          <w:szCs w:val="24"/>
        </w:rPr>
        <w:t>Note 1</w:t>
      </w:r>
      <w:r>
        <w:rPr>
          <w:rFonts w:ascii="Arial" w:hAnsi="Arial" w:cs="Arial"/>
          <w:b/>
          <w:sz w:val="24"/>
          <w:szCs w:val="24"/>
        </w:rPr>
        <w:t>2</w:t>
      </w:r>
      <w:r w:rsidRPr="004653A0">
        <w:rPr>
          <w:rFonts w:ascii="Arial" w:hAnsi="Arial" w:cs="Arial"/>
          <w:b/>
          <w:sz w:val="24"/>
          <w:szCs w:val="24"/>
        </w:rPr>
        <w:t xml:space="preserve"> </w:t>
      </w:r>
      <w:r w:rsidRPr="004653A0">
        <w:rPr>
          <w:rFonts w:ascii="Arial" w:hAnsi="Arial" w:cs="Arial"/>
          <w:bCs/>
          <w:sz w:val="24"/>
          <w:szCs w:val="24"/>
        </w:rPr>
        <w:t xml:space="preserve">The </w:t>
      </w:r>
      <w:r>
        <w:rPr>
          <w:rFonts w:ascii="Arial" w:hAnsi="Arial" w:cs="Arial"/>
          <w:bCs/>
          <w:sz w:val="24"/>
          <w:szCs w:val="24"/>
        </w:rPr>
        <w:t>Insurance Reserve</w:t>
      </w:r>
      <w:r w:rsidRPr="004653A0">
        <w:rPr>
          <w:rFonts w:ascii="Arial" w:hAnsi="Arial" w:cs="Arial"/>
          <w:bCs/>
          <w:sz w:val="24"/>
          <w:szCs w:val="24"/>
        </w:rPr>
        <w:t xml:space="preserve"> i</w:t>
      </w:r>
      <w:r w:rsidR="00D06C92">
        <w:rPr>
          <w:rFonts w:ascii="Arial" w:hAnsi="Arial" w:cs="Arial"/>
          <w:bCs/>
          <w:sz w:val="24"/>
          <w:szCs w:val="24"/>
        </w:rPr>
        <w:t>s used to help manage volatile claim trends and to assist with any unforeseen shortfalls in respect of premium cover.</w:t>
      </w:r>
    </w:p>
    <w:p w14:paraId="22C5F708" w14:textId="2C22377A" w:rsidR="00C41414" w:rsidRDefault="004653A0" w:rsidP="002A24B1">
      <w:pPr>
        <w:pStyle w:val="ListParagraph"/>
        <w:ind w:left="709"/>
        <w:jc w:val="both"/>
        <w:rPr>
          <w:rFonts w:ascii="Arial" w:hAnsi="Arial" w:cs="Arial"/>
          <w:sz w:val="24"/>
          <w:szCs w:val="24"/>
        </w:rPr>
      </w:pPr>
      <w:r w:rsidRPr="004653A0">
        <w:rPr>
          <w:rFonts w:ascii="Arial" w:hAnsi="Arial" w:cs="Arial"/>
          <w:b/>
          <w:sz w:val="24"/>
          <w:szCs w:val="24"/>
        </w:rPr>
        <w:t>Note 1</w:t>
      </w:r>
      <w:r w:rsidR="00226E84">
        <w:rPr>
          <w:rFonts w:ascii="Arial" w:hAnsi="Arial" w:cs="Arial"/>
          <w:b/>
          <w:sz w:val="24"/>
          <w:szCs w:val="24"/>
        </w:rPr>
        <w:t>3</w:t>
      </w:r>
      <w:r w:rsidRPr="004653A0">
        <w:rPr>
          <w:rFonts w:ascii="Arial" w:hAnsi="Arial" w:cs="Arial"/>
          <w:b/>
          <w:sz w:val="24"/>
          <w:szCs w:val="24"/>
        </w:rPr>
        <w:t xml:space="preserve"> </w:t>
      </w:r>
      <w:r w:rsidR="0016446A" w:rsidRPr="004653A0">
        <w:rPr>
          <w:rFonts w:ascii="Arial" w:hAnsi="Arial" w:cs="Arial"/>
          <w:bCs/>
          <w:sz w:val="24"/>
          <w:szCs w:val="24"/>
        </w:rPr>
        <w:t>The Future Capital Funding Reserve is used as an enabling facility to finance future capital expenditure arising in both new and existing projects</w:t>
      </w:r>
      <w:r w:rsidR="00C41F1E">
        <w:rPr>
          <w:rFonts w:ascii="Arial" w:hAnsi="Arial" w:cs="Arial"/>
          <w:bCs/>
          <w:sz w:val="24"/>
          <w:szCs w:val="24"/>
        </w:rPr>
        <w:t>.</w:t>
      </w:r>
    </w:p>
    <w:p w14:paraId="2A2E79BF" w14:textId="77777777" w:rsidR="00024E76" w:rsidRDefault="00024E76" w:rsidP="004653A0">
      <w:pPr>
        <w:pStyle w:val="ListParagraph"/>
        <w:ind w:left="851"/>
        <w:jc w:val="both"/>
        <w:rPr>
          <w:rFonts w:ascii="Arial" w:hAnsi="Arial" w:cs="Arial"/>
          <w:sz w:val="24"/>
          <w:szCs w:val="24"/>
        </w:rPr>
      </w:pPr>
    </w:p>
    <w:p w14:paraId="599EDE71" w14:textId="77777777" w:rsidR="00834621" w:rsidRDefault="00834621" w:rsidP="004653A0">
      <w:pPr>
        <w:pStyle w:val="ListParagraph"/>
        <w:ind w:left="851"/>
        <w:jc w:val="both"/>
        <w:rPr>
          <w:rFonts w:ascii="Arial" w:hAnsi="Arial" w:cs="Arial"/>
          <w:sz w:val="24"/>
          <w:szCs w:val="24"/>
        </w:rPr>
      </w:pPr>
    </w:p>
    <w:p w14:paraId="2E1E86CA" w14:textId="77777777" w:rsidR="00834621" w:rsidRDefault="00834621" w:rsidP="004653A0">
      <w:pPr>
        <w:pStyle w:val="ListParagraph"/>
        <w:ind w:left="851"/>
        <w:jc w:val="both"/>
        <w:rPr>
          <w:rFonts w:ascii="Arial" w:hAnsi="Arial" w:cs="Arial"/>
          <w:sz w:val="24"/>
          <w:szCs w:val="24"/>
        </w:rPr>
      </w:pPr>
    </w:p>
    <w:p w14:paraId="17676A97" w14:textId="77777777" w:rsidR="00834621" w:rsidRDefault="00834621" w:rsidP="004653A0">
      <w:pPr>
        <w:pStyle w:val="ListParagraph"/>
        <w:ind w:left="851"/>
        <w:jc w:val="both"/>
        <w:rPr>
          <w:rFonts w:ascii="Arial" w:hAnsi="Arial" w:cs="Arial"/>
          <w:sz w:val="24"/>
          <w:szCs w:val="24"/>
        </w:rPr>
      </w:pPr>
    </w:p>
    <w:p w14:paraId="08566477" w14:textId="77777777" w:rsidR="00834621" w:rsidRDefault="00834621" w:rsidP="004653A0">
      <w:pPr>
        <w:pStyle w:val="ListParagraph"/>
        <w:ind w:left="851"/>
        <w:jc w:val="both"/>
        <w:rPr>
          <w:rFonts w:ascii="Arial" w:hAnsi="Arial" w:cs="Arial"/>
          <w:sz w:val="24"/>
          <w:szCs w:val="24"/>
        </w:rPr>
      </w:pPr>
    </w:p>
    <w:p w14:paraId="6B4BF21E" w14:textId="77777777" w:rsidR="00834621" w:rsidRDefault="00834621" w:rsidP="004653A0">
      <w:pPr>
        <w:pStyle w:val="ListParagraph"/>
        <w:ind w:left="851"/>
        <w:jc w:val="both"/>
        <w:rPr>
          <w:rFonts w:ascii="Arial" w:hAnsi="Arial" w:cs="Arial"/>
          <w:sz w:val="24"/>
          <w:szCs w:val="24"/>
        </w:rPr>
      </w:pPr>
    </w:p>
    <w:p w14:paraId="62D99282" w14:textId="77777777" w:rsidR="00834621" w:rsidRDefault="00834621" w:rsidP="004653A0">
      <w:pPr>
        <w:pStyle w:val="ListParagraph"/>
        <w:ind w:left="851"/>
        <w:jc w:val="both"/>
        <w:rPr>
          <w:rFonts w:ascii="Arial" w:hAnsi="Arial" w:cs="Arial"/>
          <w:sz w:val="24"/>
          <w:szCs w:val="24"/>
        </w:rPr>
      </w:pPr>
    </w:p>
    <w:p w14:paraId="6FB06DD6" w14:textId="77777777" w:rsidR="00834621" w:rsidRDefault="00834621" w:rsidP="004653A0">
      <w:pPr>
        <w:pStyle w:val="ListParagraph"/>
        <w:ind w:left="851"/>
        <w:jc w:val="both"/>
        <w:rPr>
          <w:rFonts w:ascii="Arial" w:hAnsi="Arial" w:cs="Arial"/>
          <w:sz w:val="24"/>
          <w:szCs w:val="24"/>
        </w:rPr>
      </w:pPr>
    </w:p>
    <w:p w14:paraId="6B776CBD" w14:textId="77777777" w:rsidR="00834621" w:rsidRDefault="00834621" w:rsidP="004653A0">
      <w:pPr>
        <w:pStyle w:val="ListParagraph"/>
        <w:ind w:left="851"/>
        <w:jc w:val="both"/>
        <w:rPr>
          <w:rFonts w:ascii="Arial" w:hAnsi="Arial" w:cs="Arial"/>
          <w:sz w:val="24"/>
          <w:szCs w:val="24"/>
        </w:rPr>
      </w:pPr>
    </w:p>
    <w:p w14:paraId="35E8DF24" w14:textId="77777777" w:rsidR="00834621" w:rsidRDefault="00834621" w:rsidP="004653A0">
      <w:pPr>
        <w:pStyle w:val="ListParagraph"/>
        <w:ind w:left="851"/>
        <w:jc w:val="both"/>
        <w:rPr>
          <w:rFonts w:ascii="Arial" w:hAnsi="Arial" w:cs="Arial"/>
          <w:sz w:val="24"/>
          <w:szCs w:val="24"/>
        </w:rPr>
      </w:pPr>
    </w:p>
    <w:p w14:paraId="45E95847" w14:textId="77777777" w:rsidR="00834621" w:rsidRDefault="00834621" w:rsidP="004653A0">
      <w:pPr>
        <w:pStyle w:val="ListParagraph"/>
        <w:ind w:left="851"/>
        <w:jc w:val="both"/>
        <w:rPr>
          <w:rFonts w:ascii="Arial" w:hAnsi="Arial" w:cs="Arial"/>
          <w:sz w:val="24"/>
          <w:szCs w:val="24"/>
        </w:rPr>
      </w:pPr>
    </w:p>
    <w:p w14:paraId="422FF09A" w14:textId="77777777" w:rsidR="00834621" w:rsidRDefault="00834621" w:rsidP="004653A0">
      <w:pPr>
        <w:pStyle w:val="ListParagraph"/>
        <w:ind w:left="851"/>
        <w:jc w:val="both"/>
        <w:rPr>
          <w:rFonts w:ascii="Arial" w:hAnsi="Arial" w:cs="Arial"/>
          <w:sz w:val="24"/>
          <w:szCs w:val="24"/>
        </w:rPr>
      </w:pPr>
    </w:p>
    <w:p w14:paraId="35C9B5C2" w14:textId="77777777" w:rsidR="00834621" w:rsidRDefault="00834621" w:rsidP="004653A0">
      <w:pPr>
        <w:pStyle w:val="ListParagraph"/>
        <w:ind w:left="851"/>
        <w:jc w:val="both"/>
        <w:rPr>
          <w:rFonts w:ascii="Arial" w:hAnsi="Arial" w:cs="Arial"/>
          <w:sz w:val="24"/>
          <w:szCs w:val="24"/>
        </w:rPr>
      </w:pPr>
    </w:p>
    <w:p w14:paraId="5F53DC86" w14:textId="77777777" w:rsidR="00834621" w:rsidRDefault="00834621" w:rsidP="004653A0">
      <w:pPr>
        <w:pStyle w:val="ListParagraph"/>
        <w:ind w:left="851"/>
        <w:jc w:val="both"/>
        <w:rPr>
          <w:rFonts w:ascii="Arial" w:hAnsi="Arial" w:cs="Arial"/>
          <w:sz w:val="24"/>
          <w:szCs w:val="24"/>
        </w:rPr>
      </w:pPr>
    </w:p>
    <w:p w14:paraId="42DC6D64" w14:textId="77777777" w:rsidR="00834621" w:rsidRDefault="00834621" w:rsidP="004653A0">
      <w:pPr>
        <w:pStyle w:val="ListParagraph"/>
        <w:ind w:left="851"/>
        <w:jc w:val="both"/>
        <w:rPr>
          <w:rFonts w:ascii="Arial" w:hAnsi="Arial" w:cs="Arial"/>
          <w:sz w:val="24"/>
          <w:szCs w:val="24"/>
        </w:rPr>
      </w:pPr>
    </w:p>
    <w:p w14:paraId="22201195" w14:textId="77777777" w:rsidR="00834621" w:rsidRDefault="00834621" w:rsidP="004653A0">
      <w:pPr>
        <w:pStyle w:val="ListParagraph"/>
        <w:ind w:left="851"/>
        <w:jc w:val="both"/>
        <w:rPr>
          <w:rFonts w:ascii="Arial" w:hAnsi="Arial" w:cs="Arial"/>
          <w:sz w:val="24"/>
          <w:szCs w:val="24"/>
        </w:rPr>
      </w:pPr>
    </w:p>
    <w:p w14:paraId="5464E4A8" w14:textId="77777777" w:rsidR="00834621" w:rsidRPr="004653A0" w:rsidRDefault="00834621" w:rsidP="004653A0">
      <w:pPr>
        <w:pStyle w:val="ListParagraph"/>
        <w:ind w:left="851"/>
        <w:jc w:val="both"/>
        <w:rPr>
          <w:rFonts w:ascii="Arial" w:hAnsi="Arial" w:cs="Arial"/>
          <w:sz w:val="24"/>
          <w:szCs w:val="24"/>
        </w:rPr>
      </w:pPr>
    </w:p>
    <w:p w14:paraId="07B00FA7" w14:textId="73885BE3" w:rsidR="00A31FA9" w:rsidRPr="00D070F7" w:rsidRDefault="00A31FA9" w:rsidP="00D070F7">
      <w:pPr>
        <w:pStyle w:val="ListParagraph"/>
        <w:numPr>
          <w:ilvl w:val="0"/>
          <w:numId w:val="6"/>
        </w:numPr>
        <w:ind w:left="709" w:hanging="709"/>
        <w:jc w:val="both"/>
        <w:rPr>
          <w:rFonts w:ascii="Arial" w:hAnsi="Arial" w:cs="Arial"/>
          <w:b/>
          <w:sz w:val="24"/>
          <w:szCs w:val="24"/>
        </w:rPr>
      </w:pPr>
      <w:r w:rsidRPr="00D070F7">
        <w:rPr>
          <w:rFonts w:ascii="Arial" w:hAnsi="Arial" w:cs="Arial"/>
          <w:b/>
          <w:sz w:val="24"/>
          <w:szCs w:val="24"/>
        </w:rPr>
        <w:lastRenderedPageBreak/>
        <w:t>Historic Reserve Analysis</w:t>
      </w:r>
    </w:p>
    <w:p w14:paraId="135E047E" w14:textId="77777777" w:rsidR="00A31FA9" w:rsidRDefault="00A31FA9" w:rsidP="006945EF">
      <w:pPr>
        <w:pStyle w:val="ListParagraph"/>
        <w:ind w:left="360"/>
        <w:jc w:val="both"/>
        <w:rPr>
          <w:rFonts w:ascii="Arial" w:hAnsi="Arial" w:cs="Arial"/>
          <w:sz w:val="24"/>
          <w:szCs w:val="24"/>
        </w:rPr>
      </w:pPr>
    </w:p>
    <w:p w14:paraId="35347EB5" w14:textId="1E8E0C24" w:rsidR="00A31FA9" w:rsidRPr="00D070F7" w:rsidRDefault="00A31FA9" w:rsidP="00D070F7">
      <w:pPr>
        <w:pStyle w:val="ListParagraph"/>
        <w:numPr>
          <w:ilvl w:val="1"/>
          <w:numId w:val="6"/>
        </w:numPr>
        <w:ind w:left="709" w:hanging="709"/>
        <w:rPr>
          <w:rFonts w:ascii="Arial" w:hAnsi="Arial" w:cs="Arial"/>
          <w:b/>
          <w:bCs/>
          <w:sz w:val="24"/>
          <w:szCs w:val="24"/>
        </w:rPr>
      </w:pPr>
      <w:r w:rsidRPr="00D070F7">
        <w:rPr>
          <w:rFonts w:ascii="Arial" w:hAnsi="Arial" w:cs="Arial"/>
          <w:b/>
          <w:bCs/>
          <w:sz w:val="24"/>
          <w:szCs w:val="24"/>
        </w:rPr>
        <w:t>General Reserve</w:t>
      </w:r>
    </w:p>
    <w:p w14:paraId="4A7490E0" w14:textId="77777777" w:rsidR="001377CE" w:rsidRDefault="001377CE" w:rsidP="006945EF">
      <w:pPr>
        <w:pStyle w:val="ListParagraph"/>
        <w:ind w:left="792"/>
        <w:jc w:val="both"/>
        <w:rPr>
          <w:rFonts w:ascii="Arial" w:hAnsi="Arial" w:cs="Arial"/>
          <w:sz w:val="24"/>
          <w:szCs w:val="24"/>
        </w:rPr>
      </w:pPr>
    </w:p>
    <w:p w14:paraId="6AF60668" w14:textId="557987DA" w:rsidR="00834621" w:rsidRPr="00834621" w:rsidRDefault="001377CE" w:rsidP="00834621">
      <w:pPr>
        <w:pStyle w:val="ListParagraph"/>
        <w:numPr>
          <w:ilvl w:val="1"/>
          <w:numId w:val="6"/>
        </w:numPr>
        <w:ind w:left="709" w:hanging="709"/>
        <w:rPr>
          <w:rFonts w:ascii="Arial" w:hAnsi="Arial" w:cs="Arial"/>
          <w:sz w:val="24"/>
          <w:szCs w:val="24"/>
        </w:rPr>
      </w:pPr>
      <w:r>
        <w:rPr>
          <w:rFonts w:ascii="Arial" w:hAnsi="Arial" w:cs="Arial"/>
          <w:sz w:val="24"/>
          <w:szCs w:val="24"/>
        </w:rPr>
        <w:t xml:space="preserve">From 2011/12 to </w:t>
      </w:r>
      <w:r w:rsidR="00F71113">
        <w:rPr>
          <w:rFonts w:ascii="Arial" w:hAnsi="Arial" w:cs="Arial"/>
          <w:sz w:val="24"/>
          <w:szCs w:val="24"/>
        </w:rPr>
        <w:t>the 202</w:t>
      </w:r>
      <w:r w:rsidR="00834621">
        <w:rPr>
          <w:rFonts w:ascii="Arial" w:hAnsi="Arial" w:cs="Arial"/>
          <w:sz w:val="24"/>
          <w:szCs w:val="24"/>
        </w:rPr>
        <w:t>4</w:t>
      </w:r>
      <w:r w:rsidR="00F71113">
        <w:rPr>
          <w:rFonts w:ascii="Arial" w:hAnsi="Arial" w:cs="Arial"/>
          <w:sz w:val="24"/>
          <w:szCs w:val="24"/>
        </w:rPr>
        <w:t>/2</w:t>
      </w:r>
      <w:r w:rsidR="00834621">
        <w:rPr>
          <w:rFonts w:ascii="Arial" w:hAnsi="Arial" w:cs="Arial"/>
          <w:sz w:val="24"/>
          <w:szCs w:val="24"/>
        </w:rPr>
        <w:t>5</w:t>
      </w:r>
      <w:r w:rsidR="00F71113">
        <w:rPr>
          <w:rFonts w:ascii="Arial" w:hAnsi="Arial" w:cs="Arial"/>
          <w:sz w:val="24"/>
          <w:szCs w:val="24"/>
        </w:rPr>
        <w:t xml:space="preserve"> budget,</w:t>
      </w:r>
      <w:r>
        <w:rPr>
          <w:rFonts w:ascii="Arial" w:hAnsi="Arial" w:cs="Arial"/>
          <w:sz w:val="24"/>
          <w:szCs w:val="24"/>
        </w:rPr>
        <w:t xml:space="preserve"> the PFCC’s General Reserve balance</w:t>
      </w:r>
      <w:r w:rsidR="00F71113">
        <w:rPr>
          <w:rFonts w:ascii="Arial" w:hAnsi="Arial" w:cs="Arial"/>
          <w:sz w:val="24"/>
          <w:szCs w:val="24"/>
        </w:rPr>
        <w:t xml:space="preserve"> will</w:t>
      </w:r>
      <w:r>
        <w:rPr>
          <w:rFonts w:ascii="Arial" w:hAnsi="Arial" w:cs="Arial"/>
          <w:sz w:val="24"/>
          <w:szCs w:val="24"/>
        </w:rPr>
        <w:t xml:space="preserve"> reduce from £23</w:t>
      </w:r>
      <w:r w:rsidR="00834621">
        <w:rPr>
          <w:rFonts w:ascii="Arial" w:hAnsi="Arial" w:cs="Arial"/>
          <w:sz w:val="24"/>
          <w:szCs w:val="24"/>
        </w:rPr>
        <w:t>.0</w:t>
      </w:r>
      <w:r>
        <w:rPr>
          <w:rFonts w:ascii="Arial" w:hAnsi="Arial" w:cs="Arial"/>
          <w:sz w:val="24"/>
          <w:szCs w:val="24"/>
        </w:rPr>
        <w:t>m to £</w:t>
      </w:r>
      <w:r w:rsidR="00834621">
        <w:rPr>
          <w:rFonts w:ascii="Arial" w:hAnsi="Arial" w:cs="Arial"/>
          <w:sz w:val="24"/>
          <w:szCs w:val="24"/>
        </w:rPr>
        <w:t>11.3</w:t>
      </w:r>
      <w:r>
        <w:rPr>
          <w:rFonts w:ascii="Arial" w:hAnsi="Arial" w:cs="Arial"/>
          <w:sz w:val="24"/>
          <w:szCs w:val="24"/>
        </w:rPr>
        <w:t xml:space="preserve">m, this </w:t>
      </w:r>
      <w:r w:rsidR="00742615">
        <w:rPr>
          <w:rFonts w:ascii="Arial" w:hAnsi="Arial" w:cs="Arial"/>
          <w:sz w:val="24"/>
          <w:szCs w:val="24"/>
        </w:rPr>
        <w:t>will be</w:t>
      </w:r>
      <w:r>
        <w:rPr>
          <w:rFonts w:ascii="Arial" w:hAnsi="Arial" w:cs="Arial"/>
          <w:sz w:val="24"/>
          <w:szCs w:val="24"/>
        </w:rPr>
        <w:t xml:space="preserve"> a reduction of </w:t>
      </w:r>
      <w:r w:rsidR="00742615">
        <w:rPr>
          <w:rFonts w:ascii="Arial" w:hAnsi="Arial" w:cs="Arial"/>
          <w:sz w:val="24"/>
          <w:szCs w:val="24"/>
        </w:rPr>
        <w:t>5</w:t>
      </w:r>
      <w:r w:rsidR="00834621">
        <w:rPr>
          <w:rFonts w:ascii="Arial" w:hAnsi="Arial" w:cs="Arial"/>
          <w:sz w:val="24"/>
          <w:szCs w:val="24"/>
        </w:rPr>
        <w:t>1</w:t>
      </w:r>
      <w:r>
        <w:rPr>
          <w:rFonts w:ascii="Arial" w:hAnsi="Arial" w:cs="Arial"/>
          <w:sz w:val="24"/>
          <w:szCs w:val="24"/>
        </w:rPr>
        <w:t xml:space="preserve">% over the period. </w:t>
      </w:r>
      <w:r w:rsidR="00536D1F">
        <w:rPr>
          <w:rFonts w:ascii="Arial" w:hAnsi="Arial" w:cs="Arial"/>
          <w:sz w:val="24"/>
          <w:szCs w:val="24"/>
        </w:rPr>
        <w:t xml:space="preserve">The </w:t>
      </w:r>
      <w:r w:rsidR="006621E1">
        <w:rPr>
          <w:rFonts w:ascii="Arial" w:hAnsi="Arial" w:cs="Arial"/>
          <w:sz w:val="24"/>
          <w:szCs w:val="24"/>
        </w:rPr>
        <w:t xml:space="preserve">downward trend was temporarily reversed by </w:t>
      </w:r>
      <w:r w:rsidR="00C57D5A">
        <w:rPr>
          <w:rFonts w:ascii="Arial" w:hAnsi="Arial" w:cs="Arial"/>
          <w:sz w:val="24"/>
          <w:szCs w:val="24"/>
        </w:rPr>
        <w:t xml:space="preserve">grants to address </w:t>
      </w:r>
      <w:r w:rsidR="006621E1">
        <w:rPr>
          <w:rFonts w:ascii="Arial" w:hAnsi="Arial" w:cs="Arial"/>
          <w:sz w:val="24"/>
          <w:szCs w:val="24"/>
        </w:rPr>
        <w:t>the impact of the Covid-19 Pandemic</w:t>
      </w:r>
      <w:r w:rsidR="00B231C3">
        <w:rPr>
          <w:rFonts w:ascii="Arial" w:hAnsi="Arial" w:cs="Arial"/>
          <w:sz w:val="24"/>
          <w:szCs w:val="24"/>
        </w:rPr>
        <w:t xml:space="preserve"> which crossed financial years. </w:t>
      </w:r>
      <w:r w:rsidR="007C31D7">
        <w:rPr>
          <w:rFonts w:ascii="Arial" w:hAnsi="Arial" w:cs="Arial"/>
          <w:sz w:val="24"/>
          <w:szCs w:val="24"/>
        </w:rPr>
        <w:t>Figure</w:t>
      </w:r>
      <w:r>
        <w:rPr>
          <w:rFonts w:ascii="Arial" w:hAnsi="Arial" w:cs="Arial"/>
          <w:sz w:val="24"/>
          <w:szCs w:val="24"/>
        </w:rPr>
        <w:t xml:space="preserve"> </w:t>
      </w:r>
      <w:r w:rsidR="00CD52E0">
        <w:rPr>
          <w:rFonts w:ascii="Arial" w:hAnsi="Arial" w:cs="Arial"/>
          <w:sz w:val="24"/>
          <w:szCs w:val="24"/>
        </w:rPr>
        <w:t>2</w:t>
      </w:r>
      <w:r>
        <w:rPr>
          <w:rFonts w:ascii="Arial" w:hAnsi="Arial" w:cs="Arial"/>
          <w:sz w:val="24"/>
          <w:szCs w:val="24"/>
        </w:rPr>
        <w:t xml:space="preserve"> </w:t>
      </w:r>
      <w:r w:rsidR="007C31D7">
        <w:rPr>
          <w:rFonts w:ascii="Arial" w:hAnsi="Arial" w:cs="Arial"/>
          <w:sz w:val="24"/>
          <w:szCs w:val="24"/>
        </w:rPr>
        <w:t xml:space="preserve">shows </w:t>
      </w:r>
      <w:r>
        <w:rPr>
          <w:rFonts w:ascii="Arial" w:hAnsi="Arial" w:cs="Arial"/>
          <w:sz w:val="24"/>
          <w:szCs w:val="24"/>
        </w:rPr>
        <w:t>the General Reserve balance</w:t>
      </w:r>
      <w:r w:rsidR="007C31D7">
        <w:rPr>
          <w:rFonts w:ascii="Arial" w:hAnsi="Arial" w:cs="Arial"/>
          <w:sz w:val="24"/>
          <w:szCs w:val="24"/>
        </w:rPr>
        <w:t xml:space="preserve"> from 31 March 2012 to the budgeted position at 31 March 202</w:t>
      </w:r>
      <w:r w:rsidR="00834621">
        <w:rPr>
          <w:rFonts w:ascii="Arial" w:hAnsi="Arial" w:cs="Arial"/>
          <w:sz w:val="24"/>
          <w:szCs w:val="24"/>
        </w:rPr>
        <w:t>5</w:t>
      </w:r>
      <w:r>
        <w:rPr>
          <w:rFonts w:ascii="Arial" w:hAnsi="Arial" w:cs="Arial"/>
          <w:sz w:val="24"/>
          <w:szCs w:val="24"/>
        </w:rPr>
        <w:t xml:space="preserve">. </w:t>
      </w:r>
      <w:bookmarkStart w:id="9" w:name="_Hlk127661312"/>
    </w:p>
    <w:p w14:paraId="4543A63B" w14:textId="77777777" w:rsidR="00834621" w:rsidRDefault="00834621" w:rsidP="00D070F7">
      <w:pPr>
        <w:pStyle w:val="ListParagraph"/>
        <w:ind w:left="709"/>
        <w:jc w:val="both"/>
        <w:rPr>
          <w:rFonts w:ascii="Arial" w:hAnsi="Arial" w:cs="Arial"/>
          <w:b/>
          <w:sz w:val="24"/>
          <w:szCs w:val="24"/>
        </w:rPr>
      </w:pPr>
    </w:p>
    <w:p w14:paraId="2E463C8D" w14:textId="7B60A26A" w:rsidR="001377CE" w:rsidRDefault="007C31D7" w:rsidP="00D070F7">
      <w:pPr>
        <w:pStyle w:val="ListParagraph"/>
        <w:ind w:left="709"/>
        <w:jc w:val="both"/>
        <w:rPr>
          <w:rFonts w:ascii="Arial" w:hAnsi="Arial" w:cs="Arial"/>
          <w:b/>
          <w:sz w:val="24"/>
          <w:szCs w:val="24"/>
        </w:rPr>
      </w:pPr>
      <w:r>
        <w:rPr>
          <w:rFonts w:ascii="Arial" w:hAnsi="Arial" w:cs="Arial"/>
          <w:b/>
          <w:sz w:val="24"/>
          <w:szCs w:val="24"/>
        </w:rPr>
        <w:t xml:space="preserve">Figure </w:t>
      </w:r>
      <w:r w:rsidR="00CD52E0">
        <w:rPr>
          <w:rFonts w:ascii="Arial" w:hAnsi="Arial" w:cs="Arial"/>
          <w:b/>
          <w:sz w:val="24"/>
          <w:szCs w:val="24"/>
        </w:rPr>
        <w:t>2</w:t>
      </w:r>
      <w:r w:rsidR="001377CE" w:rsidRPr="006945EF">
        <w:rPr>
          <w:rFonts w:ascii="Arial" w:hAnsi="Arial" w:cs="Arial"/>
          <w:b/>
          <w:sz w:val="24"/>
          <w:szCs w:val="24"/>
        </w:rPr>
        <w:t>: General Reserve balance at 31 March</w:t>
      </w:r>
      <w:bookmarkEnd w:id="9"/>
    </w:p>
    <w:p w14:paraId="7FAA59F0" w14:textId="4167AF70" w:rsidR="001F3EE1" w:rsidRDefault="00D070F7" w:rsidP="006945EF">
      <w:pPr>
        <w:pStyle w:val="ListParagraph"/>
        <w:ind w:left="792"/>
        <w:jc w:val="both"/>
        <w:rPr>
          <w:rFonts w:ascii="Arial" w:hAnsi="Arial" w:cs="Arial"/>
          <w:b/>
          <w:sz w:val="24"/>
          <w:szCs w:val="24"/>
        </w:rPr>
      </w:pPr>
      <w:r>
        <w:rPr>
          <w:noProof/>
        </w:rPr>
        <w:drawing>
          <wp:anchor distT="0" distB="0" distL="114300" distR="114300" simplePos="0" relativeHeight="251662336" behindDoc="0" locked="0" layoutInCell="1" allowOverlap="1" wp14:anchorId="2C475210" wp14:editId="2A9162D4">
            <wp:simplePos x="0" y="0"/>
            <wp:positionH relativeFrom="margin">
              <wp:posOffset>488950</wp:posOffset>
            </wp:positionH>
            <wp:positionV relativeFrom="paragraph">
              <wp:posOffset>143510</wp:posOffset>
            </wp:positionV>
            <wp:extent cx="5422265" cy="5307330"/>
            <wp:effectExtent l="0" t="0" r="6985" b="762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70AB8DB" w14:textId="3CF54C55" w:rsidR="001F3EE1" w:rsidRDefault="001F3EE1" w:rsidP="006945EF">
      <w:pPr>
        <w:pStyle w:val="ListParagraph"/>
        <w:ind w:left="792"/>
        <w:jc w:val="both"/>
        <w:rPr>
          <w:rFonts w:ascii="Arial" w:hAnsi="Arial" w:cs="Arial"/>
          <w:b/>
          <w:sz w:val="24"/>
          <w:szCs w:val="24"/>
        </w:rPr>
      </w:pPr>
    </w:p>
    <w:p w14:paraId="38ED233D" w14:textId="3567C2A5" w:rsidR="00F71113" w:rsidRDefault="00F71113" w:rsidP="006945EF">
      <w:pPr>
        <w:pStyle w:val="ListParagraph"/>
        <w:ind w:left="792"/>
        <w:jc w:val="both"/>
        <w:rPr>
          <w:rFonts w:ascii="Arial" w:hAnsi="Arial" w:cs="Arial"/>
          <w:b/>
          <w:sz w:val="24"/>
          <w:szCs w:val="24"/>
        </w:rPr>
      </w:pPr>
    </w:p>
    <w:p w14:paraId="15DCE8A9" w14:textId="56D65876" w:rsidR="00F71113" w:rsidRDefault="00F71113" w:rsidP="006945EF">
      <w:pPr>
        <w:pStyle w:val="ListParagraph"/>
        <w:ind w:left="792"/>
        <w:jc w:val="both"/>
        <w:rPr>
          <w:rFonts w:ascii="Arial" w:hAnsi="Arial" w:cs="Arial"/>
          <w:b/>
          <w:sz w:val="24"/>
          <w:szCs w:val="24"/>
        </w:rPr>
      </w:pPr>
    </w:p>
    <w:p w14:paraId="04448012" w14:textId="76DD2653" w:rsidR="00F26C9B" w:rsidRDefault="00F26C9B" w:rsidP="00F26C9B">
      <w:pPr>
        <w:pStyle w:val="ListParagraph"/>
        <w:ind w:left="792"/>
        <w:jc w:val="both"/>
        <w:rPr>
          <w:rFonts w:ascii="Arial" w:hAnsi="Arial" w:cs="Arial"/>
          <w:sz w:val="24"/>
          <w:szCs w:val="24"/>
        </w:rPr>
      </w:pPr>
    </w:p>
    <w:p w14:paraId="5D0B1906" w14:textId="77777777" w:rsidR="00F71113" w:rsidRDefault="00F71113" w:rsidP="00F26C9B">
      <w:pPr>
        <w:pStyle w:val="ListParagraph"/>
        <w:ind w:left="792"/>
        <w:jc w:val="both"/>
        <w:rPr>
          <w:rFonts w:ascii="Arial" w:hAnsi="Arial" w:cs="Arial"/>
          <w:sz w:val="24"/>
          <w:szCs w:val="24"/>
        </w:rPr>
      </w:pPr>
    </w:p>
    <w:p w14:paraId="69D66C4F" w14:textId="77777777" w:rsidR="007857C8" w:rsidRDefault="007857C8">
      <w:pPr>
        <w:rPr>
          <w:rFonts w:ascii="Arial" w:hAnsi="Arial" w:cs="Arial"/>
          <w:b/>
          <w:bCs/>
          <w:sz w:val="24"/>
          <w:szCs w:val="24"/>
          <w:lang w:eastAsia="en-GB"/>
        </w:rPr>
      </w:pPr>
      <w:r>
        <w:rPr>
          <w:rFonts w:ascii="Arial" w:hAnsi="Arial" w:cs="Arial"/>
          <w:b/>
          <w:bCs/>
          <w:sz w:val="24"/>
          <w:szCs w:val="24"/>
        </w:rPr>
        <w:br w:type="page"/>
      </w:r>
    </w:p>
    <w:p w14:paraId="1B4F6E07" w14:textId="0354DE07" w:rsidR="00F71113" w:rsidRPr="00986E69" w:rsidRDefault="00F71113" w:rsidP="00D070F7">
      <w:pPr>
        <w:pStyle w:val="ListParagraph"/>
        <w:numPr>
          <w:ilvl w:val="1"/>
          <w:numId w:val="6"/>
        </w:numPr>
        <w:ind w:left="709" w:hanging="709"/>
        <w:rPr>
          <w:rFonts w:ascii="Arial" w:hAnsi="Arial" w:cs="Arial"/>
          <w:b/>
          <w:bCs/>
          <w:sz w:val="24"/>
          <w:szCs w:val="24"/>
        </w:rPr>
      </w:pPr>
      <w:r w:rsidRPr="00986E69">
        <w:rPr>
          <w:rFonts w:ascii="Arial" w:hAnsi="Arial" w:cs="Arial"/>
          <w:b/>
          <w:bCs/>
          <w:sz w:val="24"/>
          <w:szCs w:val="24"/>
        </w:rPr>
        <w:lastRenderedPageBreak/>
        <w:t>Earmarked Reserve</w:t>
      </w:r>
      <w:r w:rsidR="00986E69">
        <w:rPr>
          <w:rFonts w:ascii="Arial" w:hAnsi="Arial" w:cs="Arial"/>
          <w:b/>
          <w:bCs/>
          <w:sz w:val="24"/>
          <w:szCs w:val="24"/>
        </w:rPr>
        <w:t>s</w:t>
      </w:r>
    </w:p>
    <w:p w14:paraId="48CCE5A9" w14:textId="77777777" w:rsidR="00F71113" w:rsidRDefault="00F71113" w:rsidP="00F26C9B">
      <w:pPr>
        <w:pStyle w:val="ListParagraph"/>
        <w:ind w:left="792"/>
        <w:jc w:val="both"/>
        <w:rPr>
          <w:rFonts w:ascii="Arial" w:hAnsi="Arial" w:cs="Arial"/>
          <w:sz w:val="24"/>
          <w:szCs w:val="24"/>
        </w:rPr>
      </w:pPr>
    </w:p>
    <w:p w14:paraId="75B45410" w14:textId="386C2E12" w:rsidR="007C31D7" w:rsidRPr="007C31D7" w:rsidRDefault="00986E69" w:rsidP="00D070F7">
      <w:pPr>
        <w:pStyle w:val="ListParagraph"/>
        <w:numPr>
          <w:ilvl w:val="1"/>
          <w:numId w:val="6"/>
        </w:numPr>
        <w:ind w:left="709" w:hanging="709"/>
        <w:rPr>
          <w:rFonts w:ascii="Arial" w:hAnsi="Arial" w:cs="Arial"/>
          <w:sz w:val="24"/>
          <w:szCs w:val="24"/>
        </w:rPr>
      </w:pPr>
      <w:r>
        <w:rPr>
          <w:rFonts w:ascii="Arial" w:hAnsi="Arial" w:cs="Arial"/>
          <w:sz w:val="24"/>
          <w:szCs w:val="24"/>
        </w:rPr>
        <w:t>Since 2</w:t>
      </w:r>
      <w:r w:rsidR="001F3EE1" w:rsidRPr="007C31D7">
        <w:rPr>
          <w:rFonts w:ascii="Arial" w:hAnsi="Arial" w:cs="Arial"/>
          <w:sz w:val="24"/>
          <w:szCs w:val="24"/>
        </w:rPr>
        <w:t>011/12 the Earmarked Reserve</w:t>
      </w:r>
      <w:r>
        <w:rPr>
          <w:rFonts w:ascii="Arial" w:hAnsi="Arial" w:cs="Arial"/>
          <w:sz w:val="24"/>
          <w:szCs w:val="24"/>
        </w:rPr>
        <w:t>s</w:t>
      </w:r>
      <w:r w:rsidR="001F3EE1" w:rsidRPr="007C31D7">
        <w:rPr>
          <w:rFonts w:ascii="Arial" w:hAnsi="Arial" w:cs="Arial"/>
          <w:sz w:val="24"/>
          <w:szCs w:val="24"/>
        </w:rPr>
        <w:t xml:space="preserve"> balance has fluctuated from a low of £2.6m to a high of £</w:t>
      </w:r>
      <w:r w:rsidR="00534836">
        <w:rPr>
          <w:rFonts w:ascii="Arial" w:hAnsi="Arial" w:cs="Arial"/>
          <w:sz w:val="24"/>
          <w:szCs w:val="24"/>
        </w:rPr>
        <w:t>1</w:t>
      </w:r>
      <w:r w:rsidR="00146524">
        <w:rPr>
          <w:rFonts w:ascii="Arial" w:hAnsi="Arial" w:cs="Arial"/>
          <w:sz w:val="24"/>
          <w:szCs w:val="24"/>
        </w:rPr>
        <w:t>7.1</w:t>
      </w:r>
      <w:r w:rsidR="001F3EE1" w:rsidRPr="007C31D7">
        <w:rPr>
          <w:rFonts w:ascii="Arial" w:hAnsi="Arial" w:cs="Arial"/>
          <w:sz w:val="24"/>
          <w:szCs w:val="24"/>
        </w:rPr>
        <w:t xml:space="preserve">m. </w:t>
      </w:r>
      <w:r w:rsidR="007C31D7" w:rsidRPr="007C31D7">
        <w:rPr>
          <w:rFonts w:ascii="Arial" w:hAnsi="Arial" w:cs="Arial"/>
          <w:sz w:val="24"/>
          <w:szCs w:val="24"/>
        </w:rPr>
        <w:t xml:space="preserve">Figure </w:t>
      </w:r>
      <w:r w:rsidR="00CD52E0">
        <w:rPr>
          <w:rFonts w:ascii="Arial" w:hAnsi="Arial" w:cs="Arial"/>
          <w:sz w:val="24"/>
          <w:szCs w:val="24"/>
        </w:rPr>
        <w:t>3</w:t>
      </w:r>
      <w:r w:rsidR="00B316F2" w:rsidRPr="007C31D7">
        <w:rPr>
          <w:rFonts w:ascii="Arial" w:hAnsi="Arial" w:cs="Arial"/>
          <w:sz w:val="24"/>
          <w:szCs w:val="24"/>
        </w:rPr>
        <w:t xml:space="preserve"> shows the</w:t>
      </w:r>
      <w:r w:rsidR="007C31D7" w:rsidRPr="007C31D7">
        <w:rPr>
          <w:rFonts w:ascii="Arial" w:hAnsi="Arial" w:cs="Arial"/>
          <w:sz w:val="24"/>
          <w:szCs w:val="24"/>
        </w:rPr>
        <w:t xml:space="preserve"> total Earmarked Reserves balance from 31 March 2012 to the </w:t>
      </w:r>
      <w:r w:rsidR="00534836">
        <w:rPr>
          <w:rFonts w:ascii="Arial" w:hAnsi="Arial" w:cs="Arial"/>
          <w:sz w:val="24"/>
          <w:szCs w:val="24"/>
        </w:rPr>
        <w:t>b</w:t>
      </w:r>
      <w:r w:rsidR="007C31D7">
        <w:rPr>
          <w:rFonts w:ascii="Arial" w:hAnsi="Arial" w:cs="Arial"/>
          <w:sz w:val="24"/>
          <w:szCs w:val="24"/>
        </w:rPr>
        <w:t xml:space="preserve">udgeted </w:t>
      </w:r>
      <w:r w:rsidR="007C31D7" w:rsidRPr="007C31D7">
        <w:rPr>
          <w:rFonts w:ascii="Arial" w:hAnsi="Arial" w:cs="Arial"/>
          <w:sz w:val="24"/>
          <w:szCs w:val="24"/>
        </w:rPr>
        <w:t>position at 31 March 202</w:t>
      </w:r>
      <w:r w:rsidR="006149C5">
        <w:rPr>
          <w:rFonts w:ascii="Arial" w:hAnsi="Arial" w:cs="Arial"/>
          <w:sz w:val="24"/>
          <w:szCs w:val="24"/>
        </w:rPr>
        <w:t>5</w:t>
      </w:r>
      <w:r w:rsidR="007C31D7" w:rsidRPr="007C31D7">
        <w:rPr>
          <w:rFonts w:ascii="Arial" w:hAnsi="Arial" w:cs="Arial"/>
          <w:sz w:val="24"/>
          <w:szCs w:val="24"/>
        </w:rPr>
        <w:t xml:space="preserve">. </w:t>
      </w:r>
    </w:p>
    <w:p w14:paraId="2D54D69C" w14:textId="6E78E7C0" w:rsidR="001F3EE1" w:rsidRPr="00F26C9B" w:rsidRDefault="001F3EE1" w:rsidP="007C31D7">
      <w:pPr>
        <w:pStyle w:val="ListParagraph"/>
        <w:ind w:left="792"/>
        <w:jc w:val="both"/>
        <w:rPr>
          <w:rFonts w:ascii="Arial" w:hAnsi="Arial" w:cs="Arial"/>
          <w:sz w:val="24"/>
          <w:szCs w:val="24"/>
        </w:rPr>
      </w:pPr>
    </w:p>
    <w:p w14:paraId="2EE9EDA5" w14:textId="77777777" w:rsidR="00793213" w:rsidRPr="006945EF" w:rsidRDefault="00793213" w:rsidP="006945EF">
      <w:pPr>
        <w:pStyle w:val="ListParagraph"/>
        <w:rPr>
          <w:rFonts w:ascii="Arial" w:hAnsi="Arial" w:cs="Arial"/>
          <w:sz w:val="24"/>
          <w:szCs w:val="24"/>
        </w:rPr>
      </w:pPr>
    </w:p>
    <w:p w14:paraId="3EB9829D" w14:textId="27C9C809" w:rsidR="00793213" w:rsidRDefault="007C31D7" w:rsidP="00D070F7">
      <w:pPr>
        <w:pStyle w:val="ListParagraph"/>
        <w:ind w:left="709"/>
        <w:jc w:val="both"/>
        <w:rPr>
          <w:rFonts w:ascii="Arial" w:hAnsi="Arial" w:cs="Arial"/>
          <w:b/>
          <w:sz w:val="24"/>
          <w:szCs w:val="24"/>
        </w:rPr>
      </w:pPr>
      <w:r>
        <w:rPr>
          <w:rFonts w:ascii="Arial" w:hAnsi="Arial" w:cs="Arial"/>
          <w:b/>
          <w:sz w:val="24"/>
          <w:szCs w:val="24"/>
        </w:rPr>
        <w:t xml:space="preserve">Figure </w:t>
      </w:r>
      <w:r w:rsidR="00CD52E0">
        <w:rPr>
          <w:rFonts w:ascii="Arial" w:hAnsi="Arial" w:cs="Arial"/>
          <w:b/>
          <w:sz w:val="24"/>
          <w:szCs w:val="24"/>
        </w:rPr>
        <w:t>3</w:t>
      </w:r>
      <w:r w:rsidR="00793213" w:rsidRPr="008F0932">
        <w:rPr>
          <w:rFonts w:ascii="Arial" w:hAnsi="Arial" w:cs="Arial"/>
          <w:b/>
          <w:sz w:val="24"/>
          <w:szCs w:val="24"/>
        </w:rPr>
        <w:t>: Earmarked Reserve balance at 31 March</w:t>
      </w:r>
    </w:p>
    <w:p w14:paraId="2EC5079F" w14:textId="030BBEA4" w:rsidR="00793213" w:rsidRDefault="00D070F7" w:rsidP="006945EF">
      <w:pPr>
        <w:pStyle w:val="ListParagraph"/>
        <w:ind w:left="792"/>
        <w:jc w:val="both"/>
        <w:rPr>
          <w:rFonts w:ascii="Arial" w:hAnsi="Arial" w:cs="Arial"/>
          <w:sz w:val="24"/>
          <w:szCs w:val="24"/>
        </w:rPr>
      </w:pPr>
      <w:r>
        <w:rPr>
          <w:noProof/>
        </w:rPr>
        <w:drawing>
          <wp:anchor distT="0" distB="0" distL="114300" distR="114300" simplePos="0" relativeHeight="251660288" behindDoc="0" locked="0" layoutInCell="1" allowOverlap="1" wp14:anchorId="6DD495B4" wp14:editId="10AD2D8A">
            <wp:simplePos x="0" y="0"/>
            <wp:positionH relativeFrom="margin">
              <wp:posOffset>462915</wp:posOffset>
            </wp:positionH>
            <wp:positionV relativeFrom="paragraph">
              <wp:posOffset>144780</wp:posOffset>
            </wp:positionV>
            <wp:extent cx="5326380" cy="4904105"/>
            <wp:effectExtent l="0" t="0" r="7620" b="1079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AFA2A67" w14:textId="320602DE" w:rsidR="00793213" w:rsidRDefault="00793213" w:rsidP="006945EF">
      <w:pPr>
        <w:pStyle w:val="ListParagraph"/>
        <w:ind w:left="792"/>
        <w:jc w:val="both"/>
        <w:rPr>
          <w:rFonts w:ascii="Arial" w:hAnsi="Arial" w:cs="Arial"/>
          <w:sz w:val="24"/>
          <w:szCs w:val="24"/>
        </w:rPr>
      </w:pPr>
    </w:p>
    <w:p w14:paraId="1A417238" w14:textId="243535BC" w:rsidR="00793213" w:rsidRDefault="00793213" w:rsidP="006945EF">
      <w:pPr>
        <w:pStyle w:val="ListParagraph"/>
        <w:ind w:left="792"/>
        <w:jc w:val="both"/>
        <w:rPr>
          <w:rFonts w:ascii="Arial" w:hAnsi="Arial" w:cs="Arial"/>
          <w:sz w:val="24"/>
          <w:szCs w:val="24"/>
        </w:rPr>
      </w:pPr>
    </w:p>
    <w:p w14:paraId="21456848" w14:textId="2051D0BD" w:rsidR="00793213" w:rsidRDefault="00793213" w:rsidP="006945EF">
      <w:pPr>
        <w:pStyle w:val="ListParagraph"/>
        <w:rPr>
          <w:rFonts w:ascii="Arial" w:hAnsi="Arial" w:cs="Arial"/>
          <w:sz w:val="24"/>
          <w:szCs w:val="24"/>
        </w:rPr>
      </w:pPr>
    </w:p>
    <w:p w14:paraId="05DD7B73" w14:textId="77777777" w:rsidR="00152E69" w:rsidRDefault="00152E69">
      <w:pPr>
        <w:rPr>
          <w:rFonts w:ascii="Arial" w:hAnsi="Arial" w:cs="Arial"/>
          <w:b/>
          <w:bCs/>
          <w:sz w:val="24"/>
          <w:szCs w:val="24"/>
          <w:lang w:eastAsia="en-GB"/>
        </w:rPr>
      </w:pPr>
      <w:r>
        <w:rPr>
          <w:rFonts w:ascii="Arial" w:hAnsi="Arial" w:cs="Arial"/>
          <w:b/>
          <w:bCs/>
          <w:sz w:val="24"/>
          <w:szCs w:val="24"/>
        </w:rPr>
        <w:br w:type="page"/>
      </w:r>
    </w:p>
    <w:p w14:paraId="77E19F1C" w14:textId="38781E97" w:rsidR="00793213" w:rsidRPr="00CF2247" w:rsidRDefault="00793213" w:rsidP="00D070F7">
      <w:pPr>
        <w:pStyle w:val="ListParagraph"/>
        <w:numPr>
          <w:ilvl w:val="1"/>
          <w:numId w:val="6"/>
        </w:numPr>
        <w:ind w:left="709" w:hanging="709"/>
        <w:rPr>
          <w:rFonts w:ascii="Arial" w:hAnsi="Arial" w:cs="Arial"/>
          <w:b/>
          <w:bCs/>
          <w:sz w:val="24"/>
          <w:szCs w:val="24"/>
        </w:rPr>
      </w:pPr>
      <w:r w:rsidRPr="00CF2247">
        <w:rPr>
          <w:rFonts w:ascii="Arial" w:hAnsi="Arial" w:cs="Arial"/>
          <w:b/>
          <w:bCs/>
          <w:sz w:val="24"/>
          <w:szCs w:val="24"/>
        </w:rPr>
        <w:lastRenderedPageBreak/>
        <w:t>Total Usable Reserves</w:t>
      </w:r>
    </w:p>
    <w:p w14:paraId="4B66A82F" w14:textId="77777777" w:rsidR="00793213" w:rsidRPr="006945EF" w:rsidRDefault="00793213" w:rsidP="006945EF">
      <w:pPr>
        <w:pStyle w:val="ListParagraph"/>
        <w:rPr>
          <w:rFonts w:ascii="Arial" w:hAnsi="Arial" w:cs="Arial"/>
          <w:sz w:val="24"/>
          <w:szCs w:val="24"/>
        </w:rPr>
      </w:pPr>
    </w:p>
    <w:p w14:paraId="7A0C0EF3" w14:textId="3A38E2E1" w:rsidR="00793213" w:rsidRDefault="00793213" w:rsidP="00D070F7">
      <w:pPr>
        <w:pStyle w:val="ListParagraph"/>
        <w:numPr>
          <w:ilvl w:val="1"/>
          <w:numId w:val="6"/>
        </w:numPr>
        <w:ind w:left="709" w:hanging="709"/>
        <w:rPr>
          <w:rFonts w:ascii="Arial" w:hAnsi="Arial" w:cs="Arial"/>
          <w:sz w:val="24"/>
          <w:szCs w:val="24"/>
        </w:rPr>
      </w:pPr>
      <w:r>
        <w:rPr>
          <w:rFonts w:ascii="Arial" w:hAnsi="Arial" w:cs="Arial"/>
          <w:sz w:val="24"/>
          <w:szCs w:val="24"/>
        </w:rPr>
        <w:t xml:space="preserve">The PFCC has seen a </w:t>
      </w:r>
      <w:r w:rsidR="00986E69">
        <w:rPr>
          <w:rFonts w:ascii="Arial" w:hAnsi="Arial" w:cs="Arial"/>
          <w:sz w:val="24"/>
          <w:szCs w:val="24"/>
        </w:rPr>
        <w:t>reducing trend</w:t>
      </w:r>
      <w:r>
        <w:rPr>
          <w:rFonts w:ascii="Arial" w:hAnsi="Arial" w:cs="Arial"/>
          <w:sz w:val="24"/>
          <w:szCs w:val="24"/>
        </w:rPr>
        <w:t xml:space="preserve"> in total usable reserves over the period </w:t>
      </w:r>
      <w:r w:rsidR="00741A0C">
        <w:rPr>
          <w:rFonts w:ascii="Arial" w:hAnsi="Arial" w:cs="Arial"/>
          <w:sz w:val="24"/>
          <w:szCs w:val="24"/>
        </w:rPr>
        <w:t xml:space="preserve">since </w:t>
      </w:r>
      <w:r>
        <w:rPr>
          <w:rFonts w:ascii="Arial" w:hAnsi="Arial" w:cs="Arial"/>
          <w:sz w:val="24"/>
          <w:szCs w:val="24"/>
        </w:rPr>
        <w:t xml:space="preserve">2011/12. </w:t>
      </w:r>
      <w:r w:rsidR="00741A0C">
        <w:rPr>
          <w:rFonts w:ascii="Arial" w:hAnsi="Arial" w:cs="Arial"/>
          <w:sz w:val="24"/>
          <w:szCs w:val="24"/>
        </w:rPr>
        <w:t xml:space="preserve">Figure </w:t>
      </w:r>
      <w:r w:rsidR="00CD52E0">
        <w:rPr>
          <w:rFonts w:ascii="Arial" w:hAnsi="Arial" w:cs="Arial"/>
          <w:sz w:val="24"/>
          <w:szCs w:val="24"/>
        </w:rPr>
        <w:t>4</w:t>
      </w:r>
      <w:r>
        <w:rPr>
          <w:rFonts w:ascii="Arial" w:hAnsi="Arial" w:cs="Arial"/>
          <w:sz w:val="24"/>
          <w:szCs w:val="24"/>
        </w:rPr>
        <w:t xml:space="preserve"> below </w:t>
      </w:r>
      <w:r w:rsidR="00741A0C">
        <w:rPr>
          <w:rFonts w:ascii="Arial" w:hAnsi="Arial" w:cs="Arial"/>
          <w:sz w:val="24"/>
          <w:szCs w:val="24"/>
        </w:rPr>
        <w:t xml:space="preserve">shows the </w:t>
      </w:r>
      <w:r w:rsidR="00741A0C" w:rsidRPr="00741A0C">
        <w:rPr>
          <w:rFonts w:ascii="Arial" w:hAnsi="Arial" w:cs="Arial"/>
          <w:sz w:val="24"/>
          <w:szCs w:val="24"/>
        </w:rPr>
        <w:t xml:space="preserve">total </w:t>
      </w:r>
      <w:r w:rsidR="00534836">
        <w:rPr>
          <w:rFonts w:ascii="Arial" w:hAnsi="Arial" w:cs="Arial"/>
          <w:sz w:val="24"/>
          <w:szCs w:val="24"/>
        </w:rPr>
        <w:t>u</w:t>
      </w:r>
      <w:r w:rsidR="00741A0C">
        <w:rPr>
          <w:rFonts w:ascii="Arial" w:hAnsi="Arial" w:cs="Arial"/>
          <w:sz w:val="24"/>
          <w:szCs w:val="24"/>
        </w:rPr>
        <w:t xml:space="preserve">sable </w:t>
      </w:r>
      <w:r w:rsidR="00534836">
        <w:rPr>
          <w:rFonts w:ascii="Arial" w:hAnsi="Arial" w:cs="Arial"/>
          <w:sz w:val="24"/>
          <w:szCs w:val="24"/>
        </w:rPr>
        <w:t>r</w:t>
      </w:r>
      <w:r w:rsidR="00741A0C" w:rsidRPr="00741A0C">
        <w:rPr>
          <w:rFonts w:ascii="Arial" w:hAnsi="Arial" w:cs="Arial"/>
          <w:sz w:val="24"/>
          <w:szCs w:val="24"/>
        </w:rPr>
        <w:t xml:space="preserve">eserves balance from 31 March 2012 to the </w:t>
      </w:r>
      <w:r w:rsidR="00534836">
        <w:rPr>
          <w:rFonts w:ascii="Arial" w:hAnsi="Arial" w:cs="Arial"/>
          <w:sz w:val="24"/>
          <w:szCs w:val="24"/>
        </w:rPr>
        <w:t>b</w:t>
      </w:r>
      <w:r w:rsidR="00741A0C" w:rsidRPr="00741A0C">
        <w:rPr>
          <w:rFonts w:ascii="Arial" w:hAnsi="Arial" w:cs="Arial"/>
          <w:sz w:val="24"/>
          <w:szCs w:val="24"/>
        </w:rPr>
        <w:t>udgeted position at 31 March 202</w:t>
      </w:r>
      <w:r w:rsidR="006149C5">
        <w:rPr>
          <w:rFonts w:ascii="Arial" w:hAnsi="Arial" w:cs="Arial"/>
          <w:sz w:val="24"/>
          <w:szCs w:val="24"/>
        </w:rPr>
        <w:t>5</w:t>
      </w:r>
      <w:r w:rsidR="00741A0C" w:rsidRPr="00741A0C">
        <w:rPr>
          <w:rFonts w:ascii="Arial" w:hAnsi="Arial" w:cs="Arial"/>
          <w:sz w:val="24"/>
          <w:szCs w:val="24"/>
        </w:rPr>
        <w:t>.</w:t>
      </w:r>
    </w:p>
    <w:p w14:paraId="3887F52B" w14:textId="7A2D40A2" w:rsidR="00B62A22" w:rsidRDefault="00B62A22" w:rsidP="006945EF">
      <w:pPr>
        <w:pStyle w:val="ListParagraph"/>
        <w:rPr>
          <w:rFonts w:ascii="Arial" w:hAnsi="Arial" w:cs="Arial"/>
          <w:sz w:val="24"/>
          <w:szCs w:val="24"/>
        </w:rPr>
      </w:pPr>
    </w:p>
    <w:p w14:paraId="35158DB9" w14:textId="77777777" w:rsidR="00CF2247" w:rsidRPr="006945EF" w:rsidRDefault="00CF2247" w:rsidP="006945EF">
      <w:pPr>
        <w:pStyle w:val="ListParagraph"/>
        <w:rPr>
          <w:rFonts w:ascii="Arial" w:hAnsi="Arial" w:cs="Arial"/>
          <w:sz w:val="24"/>
          <w:szCs w:val="24"/>
        </w:rPr>
      </w:pPr>
    </w:p>
    <w:p w14:paraId="44BBE727" w14:textId="78B45043" w:rsidR="00B62A22" w:rsidRDefault="00741A0C" w:rsidP="00D070F7">
      <w:pPr>
        <w:pStyle w:val="ListParagraph"/>
        <w:ind w:left="709"/>
        <w:jc w:val="both"/>
        <w:rPr>
          <w:rFonts w:ascii="Arial" w:hAnsi="Arial" w:cs="Arial"/>
          <w:b/>
          <w:sz w:val="24"/>
          <w:szCs w:val="24"/>
        </w:rPr>
      </w:pPr>
      <w:r>
        <w:rPr>
          <w:rFonts w:ascii="Arial" w:hAnsi="Arial" w:cs="Arial"/>
          <w:b/>
          <w:sz w:val="24"/>
          <w:szCs w:val="24"/>
        </w:rPr>
        <w:t>Figure</w:t>
      </w:r>
      <w:r w:rsidR="00B62A22" w:rsidRPr="006945EF">
        <w:rPr>
          <w:rFonts w:ascii="Arial" w:hAnsi="Arial" w:cs="Arial"/>
          <w:b/>
          <w:sz w:val="24"/>
          <w:szCs w:val="24"/>
        </w:rPr>
        <w:t xml:space="preserve"> </w:t>
      </w:r>
      <w:r w:rsidR="00CD52E0">
        <w:rPr>
          <w:rFonts w:ascii="Arial" w:hAnsi="Arial" w:cs="Arial"/>
          <w:b/>
          <w:sz w:val="24"/>
          <w:szCs w:val="24"/>
        </w:rPr>
        <w:t>4</w:t>
      </w:r>
      <w:r w:rsidR="00B62A22" w:rsidRPr="006945EF">
        <w:rPr>
          <w:rFonts w:ascii="Arial" w:hAnsi="Arial" w:cs="Arial"/>
          <w:b/>
          <w:sz w:val="24"/>
          <w:szCs w:val="24"/>
        </w:rPr>
        <w:t>: Total Usable Reserve</w:t>
      </w:r>
      <w:r w:rsidR="004D4B32">
        <w:rPr>
          <w:rFonts w:ascii="Arial" w:hAnsi="Arial" w:cs="Arial"/>
          <w:b/>
          <w:sz w:val="24"/>
          <w:szCs w:val="24"/>
        </w:rPr>
        <w:t>s</w:t>
      </w:r>
      <w:r w:rsidR="00B62A22" w:rsidRPr="006945EF">
        <w:rPr>
          <w:rFonts w:ascii="Arial" w:hAnsi="Arial" w:cs="Arial"/>
          <w:b/>
          <w:sz w:val="24"/>
          <w:szCs w:val="24"/>
        </w:rPr>
        <w:t xml:space="preserve"> </w:t>
      </w:r>
      <w:r w:rsidR="00B62A22">
        <w:rPr>
          <w:rFonts w:ascii="Arial" w:hAnsi="Arial" w:cs="Arial"/>
          <w:b/>
          <w:sz w:val="24"/>
          <w:szCs w:val="24"/>
        </w:rPr>
        <w:t>at 31 March</w:t>
      </w:r>
    </w:p>
    <w:p w14:paraId="64045EC7" w14:textId="77777777" w:rsidR="00D070F7" w:rsidRPr="006945EF" w:rsidRDefault="00D070F7" w:rsidP="00D070F7">
      <w:pPr>
        <w:pStyle w:val="ListParagraph"/>
        <w:ind w:left="709"/>
        <w:jc w:val="both"/>
        <w:rPr>
          <w:rFonts w:ascii="Arial" w:hAnsi="Arial" w:cs="Arial"/>
          <w:b/>
          <w:sz w:val="24"/>
          <w:szCs w:val="24"/>
        </w:rPr>
      </w:pPr>
    </w:p>
    <w:p w14:paraId="33535937" w14:textId="3C6FA49C" w:rsidR="00B316F2" w:rsidRDefault="00B316F2" w:rsidP="00D070F7">
      <w:pPr>
        <w:pStyle w:val="ListParagraph"/>
        <w:ind w:left="0"/>
        <w:jc w:val="center"/>
        <w:rPr>
          <w:rFonts w:ascii="Arial" w:hAnsi="Arial" w:cs="Arial"/>
          <w:sz w:val="24"/>
          <w:szCs w:val="24"/>
        </w:rPr>
      </w:pPr>
    </w:p>
    <w:p w14:paraId="3260C98C" w14:textId="3B47C9E8" w:rsidR="00B62A22" w:rsidRDefault="00A57392" w:rsidP="006945EF">
      <w:pPr>
        <w:pStyle w:val="ListParagraph"/>
        <w:rPr>
          <w:rFonts w:ascii="Arial" w:hAnsi="Arial" w:cs="Arial"/>
          <w:sz w:val="24"/>
          <w:szCs w:val="24"/>
        </w:rPr>
      </w:pPr>
      <w:r w:rsidRPr="00FA7ACA">
        <w:rPr>
          <w:noProof/>
        </w:rPr>
        <w:drawing>
          <wp:inline distT="0" distB="0" distL="0" distR="0" wp14:anchorId="4C19A059" wp14:editId="6C936B40">
            <wp:extent cx="5259070" cy="5166640"/>
            <wp:effectExtent l="0" t="0" r="1778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85B575" w14:textId="5F9BDDFF" w:rsidR="00335193" w:rsidRDefault="00335193" w:rsidP="006945EF">
      <w:pPr>
        <w:pStyle w:val="ListParagraph"/>
        <w:rPr>
          <w:rFonts w:ascii="Arial" w:hAnsi="Arial" w:cs="Arial"/>
          <w:sz w:val="24"/>
          <w:szCs w:val="24"/>
        </w:rPr>
      </w:pPr>
      <w:r>
        <w:rPr>
          <w:rFonts w:ascii="Arial" w:hAnsi="Arial" w:cs="Arial"/>
          <w:sz w:val="24"/>
          <w:szCs w:val="24"/>
        </w:rPr>
        <w:br w:type="page"/>
      </w:r>
    </w:p>
    <w:p w14:paraId="79A07A71" w14:textId="77777777" w:rsidR="00335193" w:rsidRDefault="00335193" w:rsidP="006945EF">
      <w:pPr>
        <w:pStyle w:val="ListParagraph"/>
        <w:rPr>
          <w:rFonts w:ascii="Arial" w:hAnsi="Arial" w:cs="Arial"/>
          <w:sz w:val="24"/>
          <w:szCs w:val="24"/>
        </w:rPr>
      </w:pPr>
    </w:p>
    <w:p w14:paraId="1D7CA2D4" w14:textId="16247534" w:rsidR="00B62A22" w:rsidRPr="00BF4342" w:rsidRDefault="00196BF4" w:rsidP="005B3B0E">
      <w:pPr>
        <w:pStyle w:val="ListParagraph"/>
        <w:numPr>
          <w:ilvl w:val="0"/>
          <w:numId w:val="6"/>
        </w:numPr>
        <w:ind w:left="709" w:hanging="709"/>
        <w:jc w:val="both"/>
        <w:rPr>
          <w:rFonts w:ascii="Arial" w:hAnsi="Arial" w:cs="Arial"/>
          <w:sz w:val="24"/>
          <w:szCs w:val="24"/>
        </w:rPr>
      </w:pPr>
      <w:r w:rsidRPr="00BF4342">
        <w:rPr>
          <w:rFonts w:ascii="Arial" w:hAnsi="Arial" w:cs="Arial"/>
          <w:b/>
          <w:sz w:val="24"/>
          <w:szCs w:val="24"/>
        </w:rPr>
        <w:t xml:space="preserve">Unusable </w:t>
      </w:r>
      <w:r w:rsidR="00335193" w:rsidRPr="00BF4342">
        <w:rPr>
          <w:rFonts w:ascii="Arial" w:hAnsi="Arial" w:cs="Arial"/>
          <w:b/>
          <w:sz w:val="24"/>
          <w:szCs w:val="24"/>
        </w:rPr>
        <w:t>Reserve</w:t>
      </w:r>
      <w:r w:rsidRPr="00BF4342">
        <w:rPr>
          <w:rFonts w:ascii="Arial" w:hAnsi="Arial" w:cs="Arial"/>
          <w:b/>
          <w:sz w:val="24"/>
          <w:szCs w:val="24"/>
        </w:rPr>
        <w:t>s</w:t>
      </w:r>
    </w:p>
    <w:p w14:paraId="0FB10D5F" w14:textId="77777777" w:rsidR="00BF4342" w:rsidRPr="00BF4342" w:rsidRDefault="00BF4342" w:rsidP="00BF4342">
      <w:pPr>
        <w:pStyle w:val="ListParagraph"/>
        <w:ind w:left="709"/>
        <w:jc w:val="both"/>
        <w:rPr>
          <w:rFonts w:ascii="Arial" w:hAnsi="Arial" w:cs="Arial"/>
          <w:sz w:val="24"/>
          <w:szCs w:val="24"/>
        </w:rPr>
      </w:pPr>
    </w:p>
    <w:p w14:paraId="4C80CB41" w14:textId="0C153FC3" w:rsidR="00335193" w:rsidRDefault="00335193" w:rsidP="008522F0">
      <w:pPr>
        <w:pStyle w:val="ListParagraph"/>
        <w:numPr>
          <w:ilvl w:val="1"/>
          <w:numId w:val="6"/>
        </w:numPr>
        <w:ind w:left="709" w:hanging="709"/>
        <w:rPr>
          <w:rFonts w:ascii="Arial" w:hAnsi="Arial" w:cs="Arial"/>
          <w:sz w:val="24"/>
          <w:szCs w:val="24"/>
        </w:rPr>
      </w:pPr>
      <w:bookmarkStart w:id="10" w:name="_Hlk128096909"/>
      <w:bookmarkStart w:id="11" w:name="_Hlk128100151"/>
      <w:r w:rsidRPr="00196BF4">
        <w:rPr>
          <w:rFonts w:ascii="Arial" w:hAnsi="Arial" w:cs="Arial"/>
          <w:sz w:val="24"/>
          <w:szCs w:val="24"/>
        </w:rPr>
        <w:t>The detail of unusable reserve</w:t>
      </w:r>
      <w:r w:rsidR="00196BF4" w:rsidRPr="00196BF4">
        <w:rPr>
          <w:rFonts w:ascii="Arial" w:hAnsi="Arial" w:cs="Arial"/>
          <w:sz w:val="24"/>
          <w:szCs w:val="24"/>
        </w:rPr>
        <w:t>s</w:t>
      </w:r>
      <w:r w:rsidRPr="00196BF4">
        <w:rPr>
          <w:rFonts w:ascii="Arial" w:hAnsi="Arial" w:cs="Arial"/>
          <w:sz w:val="24"/>
          <w:szCs w:val="24"/>
        </w:rPr>
        <w:t xml:space="preserve"> over the </w:t>
      </w:r>
      <w:r w:rsidR="00196BF4" w:rsidRPr="00196BF4">
        <w:rPr>
          <w:rFonts w:ascii="Arial" w:hAnsi="Arial" w:cs="Arial"/>
          <w:sz w:val="24"/>
          <w:szCs w:val="24"/>
        </w:rPr>
        <w:t xml:space="preserve">most recent </w:t>
      </w:r>
      <w:r w:rsidRPr="00196BF4">
        <w:rPr>
          <w:rFonts w:ascii="Arial" w:hAnsi="Arial" w:cs="Arial"/>
          <w:sz w:val="24"/>
          <w:szCs w:val="24"/>
        </w:rPr>
        <w:t>two years is shown in figure 5 belo</w:t>
      </w:r>
      <w:bookmarkEnd w:id="10"/>
      <w:bookmarkEnd w:id="11"/>
      <w:r w:rsidRPr="00196BF4">
        <w:rPr>
          <w:rFonts w:ascii="Arial" w:hAnsi="Arial" w:cs="Arial"/>
          <w:sz w:val="24"/>
          <w:szCs w:val="24"/>
        </w:rPr>
        <w:t>w.</w:t>
      </w:r>
    </w:p>
    <w:p w14:paraId="263BC9B3" w14:textId="77777777" w:rsidR="00196BF4" w:rsidRPr="00196BF4" w:rsidRDefault="00196BF4" w:rsidP="00196BF4">
      <w:pPr>
        <w:pStyle w:val="ListParagraph"/>
        <w:ind w:left="709"/>
        <w:rPr>
          <w:rFonts w:ascii="Arial" w:hAnsi="Arial" w:cs="Arial"/>
          <w:sz w:val="24"/>
          <w:szCs w:val="24"/>
        </w:rPr>
      </w:pPr>
    </w:p>
    <w:p w14:paraId="656AE522" w14:textId="19072204" w:rsidR="00335193" w:rsidRDefault="00335193" w:rsidP="00335193">
      <w:pPr>
        <w:ind w:left="709"/>
        <w:rPr>
          <w:rFonts w:ascii="Arial" w:hAnsi="Arial" w:cs="Arial"/>
          <w:b/>
        </w:rPr>
      </w:pPr>
      <w:r w:rsidRPr="00C04026">
        <w:rPr>
          <w:rFonts w:ascii="Arial" w:hAnsi="Arial" w:cs="Arial"/>
          <w:b/>
        </w:rPr>
        <w:t>Figure 5: Unusable Reserves at 31 March 202</w:t>
      </w:r>
      <w:r w:rsidR="003676C7" w:rsidRPr="00C04026">
        <w:rPr>
          <w:rFonts w:ascii="Arial" w:hAnsi="Arial" w:cs="Arial"/>
          <w:b/>
        </w:rPr>
        <w:t>2</w:t>
      </w:r>
      <w:r w:rsidRPr="00C04026">
        <w:rPr>
          <w:rFonts w:ascii="Arial" w:hAnsi="Arial" w:cs="Arial"/>
          <w:b/>
        </w:rPr>
        <w:t xml:space="preserve"> and 31 March 202</w:t>
      </w:r>
      <w:r w:rsidR="003676C7" w:rsidRPr="00C04026">
        <w:rPr>
          <w:rFonts w:ascii="Arial" w:hAnsi="Arial" w:cs="Arial"/>
          <w:b/>
        </w:rPr>
        <w:t>3</w:t>
      </w:r>
    </w:p>
    <w:p w14:paraId="1E465429" w14:textId="397AEE36" w:rsidR="009542AA" w:rsidRDefault="006B6CBD" w:rsidP="00335193">
      <w:pPr>
        <w:ind w:left="709"/>
        <w:rPr>
          <w:rFonts w:ascii="Arial" w:hAnsi="Arial" w:cs="Arial"/>
          <w:b/>
        </w:rPr>
      </w:pPr>
      <w:r w:rsidRPr="006B6CBD">
        <w:rPr>
          <w:noProof/>
        </w:rPr>
        <w:drawing>
          <wp:inline distT="0" distB="0" distL="0" distR="0" wp14:anchorId="517B10CA" wp14:editId="3C9BA0F7">
            <wp:extent cx="4972050" cy="212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2127250"/>
                    </a:xfrm>
                    <a:prstGeom prst="rect">
                      <a:avLst/>
                    </a:prstGeom>
                    <a:noFill/>
                    <a:ln>
                      <a:noFill/>
                    </a:ln>
                  </pic:spPr>
                </pic:pic>
              </a:graphicData>
            </a:graphic>
          </wp:inline>
        </w:drawing>
      </w:r>
    </w:p>
    <w:p w14:paraId="219DE00B" w14:textId="16BC347F" w:rsidR="009542AA" w:rsidRDefault="0090588F" w:rsidP="005F7B69">
      <w:pPr>
        <w:ind w:left="709"/>
        <w:rPr>
          <w:rFonts w:ascii="Arial" w:hAnsi="Arial" w:cs="Arial"/>
          <w:sz w:val="24"/>
          <w:szCs w:val="24"/>
        </w:rPr>
      </w:pPr>
      <w:r>
        <w:rPr>
          <w:rFonts w:ascii="Arial" w:hAnsi="Arial" w:cs="Arial"/>
          <w:sz w:val="24"/>
          <w:szCs w:val="24"/>
        </w:rPr>
        <w:tab/>
      </w:r>
      <w:r w:rsidR="00D93D93">
        <w:rPr>
          <w:rFonts w:ascii="Arial" w:hAnsi="Arial" w:cs="Arial"/>
          <w:sz w:val="24"/>
          <w:szCs w:val="24"/>
        </w:rPr>
        <w:t xml:space="preserve">Note: The above figures </w:t>
      </w:r>
      <w:r w:rsidR="00222E1D">
        <w:rPr>
          <w:rFonts w:ascii="Arial" w:hAnsi="Arial" w:cs="Arial"/>
          <w:sz w:val="24"/>
          <w:szCs w:val="24"/>
        </w:rPr>
        <w:t>for 31</w:t>
      </w:r>
      <w:r w:rsidR="00222E1D" w:rsidRPr="005F7B69">
        <w:rPr>
          <w:rFonts w:ascii="Arial" w:hAnsi="Arial" w:cs="Arial"/>
          <w:sz w:val="24"/>
          <w:szCs w:val="24"/>
          <w:vertAlign w:val="superscript"/>
        </w:rPr>
        <w:t>st</w:t>
      </w:r>
      <w:r w:rsidR="00222E1D">
        <w:rPr>
          <w:rFonts w:ascii="Arial" w:hAnsi="Arial" w:cs="Arial"/>
          <w:sz w:val="24"/>
          <w:szCs w:val="24"/>
        </w:rPr>
        <w:t xml:space="preserve"> March </w:t>
      </w:r>
      <w:r w:rsidR="00514A7F">
        <w:rPr>
          <w:rFonts w:ascii="Arial" w:hAnsi="Arial" w:cs="Arial"/>
          <w:sz w:val="24"/>
          <w:szCs w:val="24"/>
        </w:rPr>
        <w:t xml:space="preserve">2023 </w:t>
      </w:r>
      <w:r w:rsidR="00222E1D">
        <w:rPr>
          <w:rFonts w:ascii="Arial" w:hAnsi="Arial" w:cs="Arial"/>
          <w:sz w:val="24"/>
          <w:szCs w:val="24"/>
        </w:rPr>
        <w:t xml:space="preserve">are based on the published unaudited accounts and therefore subject to change. </w:t>
      </w:r>
    </w:p>
    <w:p w14:paraId="3FFCEF31" w14:textId="0C9540DE" w:rsidR="00335193" w:rsidRDefault="00335193" w:rsidP="00335193">
      <w:pPr>
        <w:pStyle w:val="ListParagraph"/>
        <w:numPr>
          <w:ilvl w:val="1"/>
          <w:numId w:val="6"/>
        </w:numPr>
        <w:ind w:left="709" w:hanging="709"/>
        <w:rPr>
          <w:rFonts w:ascii="Arial" w:hAnsi="Arial" w:cs="Arial"/>
          <w:sz w:val="24"/>
          <w:szCs w:val="24"/>
        </w:rPr>
      </w:pPr>
      <w:r w:rsidRPr="00B17575">
        <w:rPr>
          <w:rFonts w:ascii="Arial" w:hAnsi="Arial" w:cs="Arial"/>
          <w:sz w:val="24"/>
          <w:szCs w:val="24"/>
        </w:rPr>
        <w:t xml:space="preserve">The </w:t>
      </w:r>
      <w:r>
        <w:rPr>
          <w:rFonts w:ascii="Arial" w:hAnsi="Arial" w:cs="Arial"/>
          <w:sz w:val="24"/>
          <w:szCs w:val="24"/>
        </w:rPr>
        <w:t xml:space="preserve">description </w:t>
      </w:r>
      <w:r w:rsidRPr="00D07055">
        <w:rPr>
          <w:rFonts w:ascii="Arial" w:hAnsi="Arial" w:cs="Arial"/>
          <w:sz w:val="24"/>
          <w:szCs w:val="24"/>
        </w:rPr>
        <w:t xml:space="preserve">of each </w:t>
      </w:r>
      <w:r>
        <w:rPr>
          <w:rFonts w:ascii="Arial" w:hAnsi="Arial" w:cs="Arial"/>
          <w:sz w:val="24"/>
          <w:szCs w:val="24"/>
        </w:rPr>
        <w:t>u</w:t>
      </w:r>
      <w:r w:rsidRPr="00D07055">
        <w:rPr>
          <w:rFonts w:ascii="Arial" w:hAnsi="Arial" w:cs="Arial"/>
          <w:sz w:val="24"/>
          <w:szCs w:val="24"/>
        </w:rPr>
        <w:t xml:space="preserve">nusable </w:t>
      </w:r>
      <w:r>
        <w:rPr>
          <w:rFonts w:ascii="Arial" w:hAnsi="Arial" w:cs="Arial"/>
          <w:sz w:val="24"/>
          <w:szCs w:val="24"/>
        </w:rPr>
        <w:t>r</w:t>
      </w:r>
      <w:r w:rsidRPr="00D07055">
        <w:rPr>
          <w:rFonts w:ascii="Arial" w:hAnsi="Arial" w:cs="Arial"/>
          <w:sz w:val="24"/>
          <w:szCs w:val="24"/>
        </w:rPr>
        <w:t>eserve is outlined below</w:t>
      </w:r>
      <w:r>
        <w:rPr>
          <w:rFonts w:ascii="Arial" w:hAnsi="Arial" w:cs="Arial"/>
          <w:sz w:val="24"/>
          <w:szCs w:val="24"/>
        </w:rPr>
        <w:t>:</w:t>
      </w:r>
    </w:p>
    <w:p w14:paraId="54E645D6" w14:textId="77777777" w:rsidR="00335193" w:rsidRPr="00B17575" w:rsidRDefault="00335193" w:rsidP="00335193">
      <w:pPr>
        <w:pStyle w:val="ListParagraph"/>
        <w:ind w:left="709"/>
        <w:rPr>
          <w:rFonts w:ascii="Arial" w:hAnsi="Arial" w:cs="Arial"/>
          <w:sz w:val="24"/>
          <w:szCs w:val="24"/>
        </w:rPr>
      </w:pPr>
    </w:p>
    <w:p w14:paraId="6571125A" w14:textId="55EA491B" w:rsidR="00335193" w:rsidRPr="00BD2218" w:rsidRDefault="00335193" w:rsidP="00335193">
      <w:pPr>
        <w:pStyle w:val="ListParagraph"/>
        <w:numPr>
          <w:ilvl w:val="2"/>
          <w:numId w:val="28"/>
        </w:numPr>
        <w:rPr>
          <w:rFonts w:ascii="Arial" w:hAnsi="Arial" w:cs="Arial"/>
          <w:sz w:val="24"/>
          <w:szCs w:val="24"/>
        </w:rPr>
      </w:pPr>
      <w:r w:rsidRPr="00335193">
        <w:rPr>
          <w:rFonts w:ascii="Arial" w:hAnsi="Arial" w:cs="Arial"/>
          <w:b/>
          <w:bCs/>
          <w:sz w:val="24"/>
          <w:szCs w:val="24"/>
        </w:rPr>
        <w:t>Revaluation Reserve</w:t>
      </w:r>
      <w:r w:rsidRPr="00BD2218">
        <w:rPr>
          <w:rFonts w:ascii="Arial" w:hAnsi="Arial" w:cs="Arial"/>
          <w:sz w:val="24"/>
          <w:szCs w:val="24"/>
        </w:rPr>
        <w:t xml:space="preserve"> – This reserve contains the gains made by the PFCC, which arise from increases in the value of its </w:t>
      </w:r>
      <w:r>
        <w:rPr>
          <w:rFonts w:ascii="Arial" w:hAnsi="Arial" w:cs="Arial"/>
          <w:sz w:val="24"/>
          <w:szCs w:val="24"/>
        </w:rPr>
        <w:t>p</w:t>
      </w:r>
      <w:r w:rsidRPr="00BD2218">
        <w:rPr>
          <w:rFonts w:ascii="Arial" w:hAnsi="Arial" w:cs="Arial"/>
          <w:sz w:val="24"/>
          <w:szCs w:val="24"/>
        </w:rPr>
        <w:t xml:space="preserve">roperty, </w:t>
      </w:r>
      <w:r>
        <w:rPr>
          <w:rFonts w:ascii="Arial" w:hAnsi="Arial" w:cs="Arial"/>
          <w:sz w:val="24"/>
          <w:szCs w:val="24"/>
        </w:rPr>
        <w:t>p</w:t>
      </w:r>
      <w:r w:rsidRPr="00BD2218">
        <w:rPr>
          <w:rFonts w:ascii="Arial" w:hAnsi="Arial" w:cs="Arial"/>
          <w:sz w:val="24"/>
          <w:szCs w:val="24"/>
        </w:rPr>
        <w:t xml:space="preserve">lant and </w:t>
      </w:r>
      <w:r>
        <w:rPr>
          <w:rFonts w:ascii="Arial" w:hAnsi="Arial" w:cs="Arial"/>
          <w:sz w:val="24"/>
          <w:szCs w:val="24"/>
        </w:rPr>
        <w:t>e</w:t>
      </w:r>
      <w:r w:rsidRPr="00BD2218">
        <w:rPr>
          <w:rFonts w:ascii="Arial" w:hAnsi="Arial" w:cs="Arial"/>
          <w:sz w:val="24"/>
          <w:szCs w:val="24"/>
        </w:rPr>
        <w:t>quipment</w:t>
      </w:r>
      <w:r>
        <w:rPr>
          <w:rFonts w:ascii="Arial" w:hAnsi="Arial" w:cs="Arial"/>
          <w:sz w:val="24"/>
          <w:szCs w:val="24"/>
        </w:rPr>
        <w:t xml:space="preserve"> or intangible fixed assets</w:t>
      </w:r>
      <w:r w:rsidRPr="00BD2218">
        <w:rPr>
          <w:rFonts w:ascii="Arial" w:hAnsi="Arial" w:cs="Arial"/>
          <w:sz w:val="24"/>
          <w:szCs w:val="24"/>
        </w:rPr>
        <w:t>. The balance is reduced when</w:t>
      </w:r>
      <w:r>
        <w:rPr>
          <w:rFonts w:ascii="Arial" w:hAnsi="Arial" w:cs="Arial"/>
          <w:sz w:val="24"/>
          <w:szCs w:val="24"/>
        </w:rPr>
        <w:t>;</w:t>
      </w:r>
      <w:r w:rsidRPr="00BD2218">
        <w:rPr>
          <w:rFonts w:ascii="Arial" w:hAnsi="Arial" w:cs="Arial"/>
          <w:sz w:val="24"/>
          <w:szCs w:val="24"/>
        </w:rPr>
        <w:t xml:space="preserve"> assets with accumulated gains are revalued downwards or impaired and the gains are lost</w:t>
      </w:r>
      <w:r>
        <w:rPr>
          <w:rFonts w:ascii="Arial" w:hAnsi="Arial" w:cs="Arial"/>
          <w:sz w:val="24"/>
          <w:szCs w:val="24"/>
        </w:rPr>
        <w:t>;</w:t>
      </w:r>
      <w:r w:rsidRPr="00BD2218">
        <w:rPr>
          <w:rFonts w:ascii="Arial" w:hAnsi="Arial" w:cs="Arial"/>
          <w:sz w:val="24"/>
          <w:szCs w:val="24"/>
        </w:rPr>
        <w:t xml:space="preserve"> the gains are consumed through depreciation</w:t>
      </w:r>
      <w:r>
        <w:rPr>
          <w:rFonts w:ascii="Arial" w:hAnsi="Arial" w:cs="Arial"/>
          <w:sz w:val="24"/>
          <w:szCs w:val="24"/>
        </w:rPr>
        <w:t>, or the asset is d</w:t>
      </w:r>
      <w:r w:rsidRPr="00BD2218">
        <w:rPr>
          <w:rFonts w:ascii="Arial" w:hAnsi="Arial" w:cs="Arial"/>
          <w:sz w:val="24"/>
          <w:szCs w:val="24"/>
        </w:rPr>
        <w:t>isposed of, and the gains are realised</w:t>
      </w:r>
      <w:r>
        <w:rPr>
          <w:rFonts w:ascii="Arial" w:hAnsi="Arial" w:cs="Arial"/>
          <w:sz w:val="24"/>
          <w:szCs w:val="24"/>
        </w:rPr>
        <w:t>.</w:t>
      </w:r>
      <w:r>
        <w:rPr>
          <w:rFonts w:ascii="Arial" w:hAnsi="Arial" w:cs="Arial"/>
          <w:sz w:val="24"/>
          <w:szCs w:val="24"/>
        </w:rPr>
        <w:br/>
      </w:r>
    </w:p>
    <w:p w14:paraId="3DD9E195" w14:textId="18037EE2" w:rsidR="00335193" w:rsidRPr="00BD2218" w:rsidRDefault="00335193" w:rsidP="00335193">
      <w:pPr>
        <w:pStyle w:val="ListParagraph"/>
        <w:numPr>
          <w:ilvl w:val="2"/>
          <w:numId w:val="28"/>
        </w:numPr>
        <w:rPr>
          <w:rFonts w:ascii="Arial" w:hAnsi="Arial" w:cs="Arial"/>
          <w:sz w:val="24"/>
          <w:szCs w:val="24"/>
        </w:rPr>
      </w:pPr>
      <w:r w:rsidRPr="00335193">
        <w:rPr>
          <w:rFonts w:ascii="Arial" w:hAnsi="Arial" w:cs="Arial"/>
          <w:b/>
          <w:bCs/>
          <w:sz w:val="24"/>
          <w:szCs w:val="24"/>
        </w:rPr>
        <w:t>Capital Adjustment Account</w:t>
      </w:r>
      <w:r w:rsidRPr="00B10ABF">
        <w:rPr>
          <w:rFonts w:ascii="Arial" w:hAnsi="Arial" w:cs="Arial"/>
          <w:sz w:val="24"/>
          <w:szCs w:val="24"/>
        </w:rPr>
        <w:t xml:space="preserve"> – This reserve is used to adjust the accounting items related to non-current assets that have been recognised in the Comprehensive Income and Expenditure Statement. It is used to remove accounting charges and to also ensure that the financing of non-current assets is appropriately levied to the local taxpayer. It shows the extent to which non-current assets have been financed from internal sources. </w:t>
      </w:r>
      <w:r>
        <w:rPr>
          <w:rFonts w:ascii="Arial" w:hAnsi="Arial" w:cs="Arial"/>
          <w:sz w:val="24"/>
          <w:szCs w:val="24"/>
        </w:rPr>
        <w:br/>
      </w:r>
    </w:p>
    <w:p w14:paraId="6AAFF7A1" w14:textId="5927510F" w:rsidR="00335193" w:rsidRDefault="00335193" w:rsidP="00335193">
      <w:pPr>
        <w:pStyle w:val="ListParagraph"/>
        <w:numPr>
          <w:ilvl w:val="2"/>
          <w:numId w:val="28"/>
        </w:numPr>
        <w:rPr>
          <w:rFonts w:ascii="Arial" w:hAnsi="Arial" w:cs="Arial"/>
          <w:sz w:val="24"/>
          <w:szCs w:val="24"/>
        </w:rPr>
      </w:pPr>
      <w:r w:rsidRPr="00335193">
        <w:rPr>
          <w:rFonts w:ascii="Arial" w:hAnsi="Arial" w:cs="Arial"/>
          <w:b/>
          <w:bCs/>
          <w:sz w:val="24"/>
          <w:szCs w:val="24"/>
        </w:rPr>
        <w:t>Pension Reserve</w:t>
      </w:r>
      <w:r w:rsidRPr="00B10ABF">
        <w:rPr>
          <w:rFonts w:ascii="Arial" w:hAnsi="Arial" w:cs="Arial"/>
          <w:sz w:val="24"/>
          <w:szCs w:val="24"/>
        </w:rPr>
        <w:t xml:space="preserve"> – This Reserve absorbs the timing differences arising from the different arrangements for accounting for post-employment benefits, and for funding benefits in accordance with statutory provisions. </w:t>
      </w:r>
      <w:r>
        <w:rPr>
          <w:rFonts w:ascii="Arial" w:hAnsi="Arial" w:cs="Arial"/>
          <w:sz w:val="24"/>
          <w:szCs w:val="24"/>
        </w:rPr>
        <w:br/>
      </w:r>
    </w:p>
    <w:p w14:paraId="7BBBC7E8" w14:textId="545D85B0" w:rsidR="00335193" w:rsidRDefault="00335193" w:rsidP="00335193">
      <w:pPr>
        <w:pStyle w:val="ListParagraph"/>
        <w:numPr>
          <w:ilvl w:val="2"/>
          <w:numId w:val="28"/>
        </w:numPr>
        <w:rPr>
          <w:rFonts w:ascii="Arial" w:hAnsi="Arial" w:cs="Arial"/>
          <w:sz w:val="24"/>
          <w:szCs w:val="24"/>
        </w:rPr>
      </w:pPr>
      <w:r w:rsidRPr="00335193">
        <w:rPr>
          <w:rFonts w:ascii="Arial" w:hAnsi="Arial" w:cs="Arial"/>
          <w:b/>
          <w:bCs/>
          <w:sz w:val="24"/>
          <w:szCs w:val="24"/>
        </w:rPr>
        <w:t>Collection Fund reserve</w:t>
      </w:r>
      <w:r w:rsidRPr="00D07055">
        <w:rPr>
          <w:rFonts w:ascii="Arial" w:hAnsi="Arial" w:cs="Arial"/>
          <w:sz w:val="24"/>
          <w:szCs w:val="24"/>
        </w:rPr>
        <w:t xml:space="preserve"> – This reserve manages the differences arising from the recognition of council tax income in the Comprehensive Income and Expenditure Statement compared with the statutory arrangements for paying across amounts to the General Fund from the Collection Fund.</w:t>
      </w:r>
      <w:r>
        <w:rPr>
          <w:rFonts w:ascii="Arial" w:hAnsi="Arial" w:cs="Arial"/>
          <w:sz w:val="24"/>
          <w:szCs w:val="24"/>
        </w:rPr>
        <w:br/>
      </w:r>
    </w:p>
    <w:p w14:paraId="23EBA81D" w14:textId="50554951" w:rsidR="009542AA" w:rsidRPr="005F7B69" w:rsidRDefault="00335193" w:rsidP="005F7B69">
      <w:pPr>
        <w:pStyle w:val="ListParagraph"/>
        <w:numPr>
          <w:ilvl w:val="2"/>
          <w:numId w:val="28"/>
        </w:numPr>
        <w:rPr>
          <w:rFonts w:ascii="Arial" w:hAnsi="Arial" w:cs="Arial"/>
          <w:sz w:val="24"/>
          <w:szCs w:val="24"/>
        </w:rPr>
      </w:pPr>
      <w:r w:rsidRPr="00335193">
        <w:rPr>
          <w:rFonts w:ascii="Arial" w:hAnsi="Arial" w:cs="Arial"/>
          <w:b/>
          <w:bCs/>
          <w:sz w:val="24"/>
          <w:szCs w:val="24"/>
        </w:rPr>
        <w:t>Accumulated Absences Reserve</w:t>
      </w:r>
      <w:r>
        <w:rPr>
          <w:rFonts w:ascii="Arial" w:hAnsi="Arial" w:cs="Arial"/>
          <w:sz w:val="24"/>
          <w:szCs w:val="24"/>
        </w:rPr>
        <w:t xml:space="preserve"> - </w:t>
      </w:r>
      <w:r w:rsidRPr="00D07055">
        <w:rPr>
          <w:rFonts w:ascii="Arial" w:hAnsi="Arial" w:cs="Arial"/>
          <w:sz w:val="24"/>
          <w:szCs w:val="24"/>
        </w:rPr>
        <w:t>Absorbs the differences that would otherwise arise on the General Fund Balance from accruing for compensated absences earned but not taken in the year</w:t>
      </w:r>
      <w:r>
        <w:rPr>
          <w:rFonts w:ascii="Arial" w:hAnsi="Arial" w:cs="Arial"/>
          <w:sz w:val="24"/>
          <w:szCs w:val="24"/>
        </w:rPr>
        <w:t>.</w:t>
      </w:r>
      <w:r w:rsidRPr="00D07055">
        <w:rPr>
          <w:rFonts w:ascii="Arial" w:hAnsi="Arial" w:cs="Arial"/>
          <w:sz w:val="24"/>
          <w:szCs w:val="24"/>
        </w:rPr>
        <w:t xml:space="preserve"> </w:t>
      </w:r>
      <w:r w:rsidR="009542AA" w:rsidRPr="005F7B69">
        <w:rPr>
          <w:rFonts w:ascii="Arial" w:hAnsi="Arial" w:cs="Arial"/>
          <w:b/>
          <w:sz w:val="24"/>
          <w:szCs w:val="24"/>
        </w:rPr>
        <w:br w:type="page"/>
      </w:r>
    </w:p>
    <w:p w14:paraId="52F784DC" w14:textId="26540DA7" w:rsidR="00335193" w:rsidRPr="00BF4342" w:rsidRDefault="00335193" w:rsidP="00696580">
      <w:pPr>
        <w:pStyle w:val="ListParagraph"/>
        <w:numPr>
          <w:ilvl w:val="0"/>
          <w:numId w:val="6"/>
        </w:numPr>
        <w:ind w:left="709" w:hanging="709"/>
        <w:jc w:val="both"/>
        <w:rPr>
          <w:rFonts w:ascii="Arial" w:hAnsi="Arial" w:cs="Arial"/>
          <w:sz w:val="24"/>
          <w:szCs w:val="24"/>
        </w:rPr>
      </w:pPr>
      <w:r w:rsidRPr="00BF4342">
        <w:rPr>
          <w:rFonts w:ascii="Arial" w:hAnsi="Arial" w:cs="Arial"/>
          <w:b/>
          <w:sz w:val="24"/>
          <w:szCs w:val="24"/>
        </w:rPr>
        <w:lastRenderedPageBreak/>
        <w:t>Total Reserves</w:t>
      </w:r>
    </w:p>
    <w:p w14:paraId="019C7FE3" w14:textId="77777777" w:rsidR="00BF4342" w:rsidRPr="00BF4342" w:rsidRDefault="00BF4342" w:rsidP="00BF4342">
      <w:pPr>
        <w:pStyle w:val="ListParagraph"/>
        <w:ind w:left="709"/>
        <w:jc w:val="both"/>
        <w:rPr>
          <w:rFonts w:ascii="Arial" w:hAnsi="Arial" w:cs="Arial"/>
          <w:sz w:val="24"/>
          <w:szCs w:val="24"/>
        </w:rPr>
      </w:pPr>
    </w:p>
    <w:p w14:paraId="07520FFE" w14:textId="08242F60" w:rsidR="00335193" w:rsidRDefault="00335193" w:rsidP="00335193">
      <w:pPr>
        <w:pStyle w:val="ListParagraph"/>
        <w:numPr>
          <w:ilvl w:val="1"/>
          <w:numId w:val="6"/>
        </w:numPr>
        <w:ind w:left="709" w:hanging="709"/>
        <w:rPr>
          <w:rFonts w:ascii="Arial" w:hAnsi="Arial" w:cs="Arial"/>
          <w:sz w:val="24"/>
          <w:szCs w:val="24"/>
        </w:rPr>
      </w:pPr>
      <w:r w:rsidRPr="0083756E">
        <w:rPr>
          <w:rFonts w:ascii="Arial" w:hAnsi="Arial" w:cs="Arial"/>
          <w:sz w:val="24"/>
          <w:szCs w:val="24"/>
        </w:rPr>
        <w:t xml:space="preserve">The table </w:t>
      </w:r>
      <w:r>
        <w:rPr>
          <w:rFonts w:ascii="Arial" w:hAnsi="Arial" w:cs="Arial"/>
          <w:sz w:val="24"/>
          <w:szCs w:val="24"/>
        </w:rPr>
        <w:t xml:space="preserve">at figure 6 </w:t>
      </w:r>
      <w:r w:rsidRPr="0083756E">
        <w:rPr>
          <w:rFonts w:ascii="Arial" w:hAnsi="Arial" w:cs="Arial"/>
          <w:sz w:val="24"/>
          <w:szCs w:val="24"/>
        </w:rPr>
        <w:t xml:space="preserve">below shows a summary of </w:t>
      </w:r>
      <w:r w:rsidR="00196BF4">
        <w:rPr>
          <w:rFonts w:ascii="Arial" w:hAnsi="Arial" w:cs="Arial"/>
          <w:sz w:val="24"/>
          <w:szCs w:val="24"/>
        </w:rPr>
        <w:t>r</w:t>
      </w:r>
      <w:r w:rsidR="009542AA">
        <w:rPr>
          <w:rFonts w:ascii="Arial" w:hAnsi="Arial" w:cs="Arial"/>
          <w:sz w:val="24"/>
          <w:szCs w:val="24"/>
        </w:rPr>
        <w:t xml:space="preserve">evenue and </w:t>
      </w:r>
      <w:r w:rsidR="00196BF4">
        <w:rPr>
          <w:rFonts w:ascii="Arial" w:hAnsi="Arial" w:cs="Arial"/>
          <w:sz w:val="24"/>
          <w:szCs w:val="24"/>
        </w:rPr>
        <w:t>c</w:t>
      </w:r>
      <w:r w:rsidR="009542AA">
        <w:rPr>
          <w:rFonts w:ascii="Arial" w:hAnsi="Arial" w:cs="Arial"/>
          <w:sz w:val="24"/>
          <w:szCs w:val="24"/>
        </w:rPr>
        <w:t xml:space="preserve">apital </w:t>
      </w:r>
      <w:r w:rsidR="00196BF4">
        <w:rPr>
          <w:rFonts w:ascii="Arial" w:hAnsi="Arial" w:cs="Arial"/>
          <w:sz w:val="24"/>
          <w:szCs w:val="24"/>
        </w:rPr>
        <w:t>r</w:t>
      </w:r>
      <w:r w:rsidR="009542AA">
        <w:rPr>
          <w:rFonts w:ascii="Arial" w:hAnsi="Arial" w:cs="Arial"/>
          <w:sz w:val="24"/>
          <w:szCs w:val="24"/>
        </w:rPr>
        <w:t>eserves</w:t>
      </w:r>
      <w:r w:rsidR="00196BF4">
        <w:rPr>
          <w:rFonts w:ascii="Arial" w:hAnsi="Arial" w:cs="Arial"/>
          <w:sz w:val="24"/>
          <w:szCs w:val="24"/>
        </w:rPr>
        <w:t>,</w:t>
      </w:r>
      <w:r w:rsidR="009542AA">
        <w:rPr>
          <w:rFonts w:ascii="Arial" w:hAnsi="Arial" w:cs="Arial"/>
          <w:sz w:val="24"/>
          <w:szCs w:val="24"/>
        </w:rPr>
        <w:t xml:space="preserve"> and of usable and unusable </w:t>
      </w:r>
      <w:r w:rsidRPr="0083756E">
        <w:rPr>
          <w:rFonts w:ascii="Arial" w:hAnsi="Arial" w:cs="Arial"/>
          <w:sz w:val="24"/>
          <w:szCs w:val="24"/>
        </w:rPr>
        <w:t>reserves</w:t>
      </w:r>
      <w:r>
        <w:rPr>
          <w:rFonts w:ascii="Arial" w:hAnsi="Arial" w:cs="Arial"/>
          <w:sz w:val="24"/>
          <w:szCs w:val="24"/>
        </w:rPr>
        <w:t>.</w:t>
      </w:r>
    </w:p>
    <w:p w14:paraId="69806CA2" w14:textId="77777777" w:rsidR="000D378B" w:rsidRDefault="000D378B" w:rsidP="000D378B">
      <w:pPr>
        <w:pStyle w:val="ListParagraph"/>
        <w:ind w:left="709"/>
        <w:rPr>
          <w:rFonts w:ascii="Arial" w:hAnsi="Arial" w:cs="Arial"/>
          <w:sz w:val="24"/>
          <w:szCs w:val="24"/>
        </w:rPr>
      </w:pPr>
    </w:p>
    <w:p w14:paraId="04AE72B2" w14:textId="147F5FA0" w:rsidR="000D378B" w:rsidRPr="000D378B" w:rsidRDefault="000D378B" w:rsidP="000D378B">
      <w:pPr>
        <w:ind w:left="709"/>
        <w:rPr>
          <w:rFonts w:ascii="Arial" w:hAnsi="Arial" w:cs="Arial"/>
          <w:b/>
        </w:rPr>
      </w:pPr>
      <w:r w:rsidRPr="006022EA">
        <w:rPr>
          <w:rFonts w:ascii="Arial" w:hAnsi="Arial" w:cs="Arial"/>
          <w:b/>
        </w:rPr>
        <w:t xml:space="preserve">Figure </w:t>
      </w:r>
      <w:r>
        <w:rPr>
          <w:rFonts w:ascii="Arial" w:hAnsi="Arial" w:cs="Arial"/>
          <w:b/>
        </w:rPr>
        <w:t>6</w:t>
      </w:r>
      <w:r w:rsidRPr="006022EA">
        <w:rPr>
          <w:rFonts w:ascii="Arial" w:hAnsi="Arial" w:cs="Arial"/>
          <w:b/>
        </w:rPr>
        <w:t xml:space="preserve">: </w:t>
      </w:r>
      <w:r>
        <w:rPr>
          <w:rFonts w:ascii="Arial" w:hAnsi="Arial" w:cs="Arial"/>
          <w:b/>
        </w:rPr>
        <w:t xml:space="preserve">Summary of </w:t>
      </w:r>
      <w:r w:rsidRPr="006022EA">
        <w:rPr>
          <w:rFonts w:ascii="Arial" w:hAnsi="Arial" w:cs="Arial"/>
          <w:b/>
        </w:rPr>
        <w:t>Reserves at 31 March</w:t>
      </w:r>
    </w:p>
    <w:p w14:paraId="55F5566C" w14:textId="7671A828" w:rsidR="000D378B" w:rsidRDefault="000D378B" w:rsidP="000D378B">
      <w:pPr>
        <w:pStyle w:val="ListParagraph"/>
        <w:ind w:left="709"/>
        <w:rPr>
          <w:rFonts w:ascii="Arial" w:hAnsi="Arial" w:cs="Arial"/>
          <w:sz w:val="24"/>
          <w:szCs w:val="24"/>
        </w:rPr>
      </w:pPr>
      <w:r>
        <w:rPr>
          <w:rFonts w:ascii="Arial" w:hAnsi="Arial" w:cs="Arial"/>
          <w:noProof/>
          <w:sz w:val="24"/>
          <w:szCs w:val="24"/>
        </w:rPr>
        <w:drawing>
          <wp:inline distT="0" distB="0" distL="0" distR="0" wp14:anchorId="56FFFB6A" wp14:editId="450BF2E2">
            <wp:extent cx="6181725" cy="24263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725" cy="2426335"/>
                    </a:xfrm>
                    <a:prstGeom prst="rect">
                      <a:avLst/>
                    </a:prstGeom>
                    <a:noFill/>
                  </pic:spPr>
                </pic:pic>
              </a:graphicData>
            </a:graphic>
          </wp:inline>
        </w:drawing>
      </w:r>
    </w:p>
    <w:p w14:paraId="0C60F1F5" w14:textId="77777777" w:rsidR="000D378B" w:rsidRDefault="000D378B" w:rsidP="000D378B">
      <w:pPr>
        <w:pStyle w:val="ListParagraph"/>
        <w:ind w:left="709"/>
        <w:rPr>
          <w:rFonts w:ascii="Arial" w:hAnsi="Arial" w:cs="Arial"/>
          <w:sz w:val="24"/>
          <w:szCs w:val="24"/>
        </w:rPr>
      </w:pPr>
    </w:p>
    <w:p w14:paraId="7A6292DB" w14:textId="1A154143" w:rsidR="000D378B" w:rsidRPr="000D378B" w:rsidRDefault="000D378B" w:rsidP="000D378B">
      <w:pPr>
        <w:pStyle w:val="ListParagraph"/>
        <w:ind w:left="709"/>
        <w:rPr>
          <w:rFonts w:ascii="Arial" w:hAnsi="Arial" w:cs="Arial"/>
          <w:sz w:val="24"/>
          <w:szCs w:val="24"/>
        </w:rPr>
      </w:pPr>
      <w:r w:rsidRPr="00981C65">
        <w:rPr>
          <w:rFonts w:ascii="Arial" w:hAnsi="Arial" w:cs="Arial"/>
          <w:i/>
          <w:iCs/>
          <w:sz w:val="20"/>
          <w:szCs w:val="20"/>
        </w:rPr>
        <w:t xml:space="preserve">Unusable reserves are not included in the </w:t>
      </w:r>
      <w:r>
        <w:rPr>
          <w:rFonts w:ascii="Arial" w:hAnsi="Arial" w:cs="Arial"/>
          <w:i/>
          <w:iCs/>
          <w:sz w:val="20"/>
          <w:szCs w:val="20"/>
        </w:rPr>
        <w:t>forecast or the plan,</w:t>
      </w:r>
      <w:r w:rsidRPr="00981C65">
        <w:rPr>
          <w:rFonts w:ascii="Arial" w:hAnsi="Arial" w:cs="Arial"/>
          <w:i/>
          <w:iCs/>
          <w:sz w:val="20"/>
          <w:szCs w:val="20"/>
        </w:rPr>
        <w:t xml:space="preserve"> as they arise from accounting adjustments</w:t>
      </w:r>
      <w:r>
        <w:rPr>
          <w:rFonts w:ascii="Arial" w:hAnsi="Arial" w:cs="Arial"/>
          <w:i/>
          <w:iCs/>
          <w:sz w:val="20"/>
          <w:szCs w:val="20"/>
        </w:rPr>
        <w:t>, when the year-end Statement of Accounts are produced</w:t>
      </w:r>
      <w:r w:rsidRPr="00335193">
        <w:rPr>
          <w:rFonts w:ascii="Arial" w:hAnsi="Arial" w:cs="Arial"/>
          <w:sz w:val="24"/>
          <w:szCs w:val="24"/>
        </w:rPr>
        <w:t>.</w:t>
      </w:r>
    </w:p>
    <w:p w14:paraId="1106D08E" w14:textId="77777777" w:rsidR="000D378B" w:rsidRDefault="000D378B" w:rsidP="000D378B">
      <w:pPr>
        <w:pStyle w:val="ListParagraph"/>
        <w:ind w:left="709"/>
        <w:rPr>
          <w:rFonts w:ascii="Arial" w:hAnsi="Arial" w:cs="Arial"/>
          <w:sz w:val="24"/>
          <w:szCs w:val="24"/>
        </w:rPr>
      </w:pPr>
    </w:p>
    <w:p w14:paraId="7CB0D857" w14:textId="0DB656A4" w:rsidR="00335193" w:rsidRPr="00E40984" w:rsidRDefault="000D378B" w:rsidP="005F7B69">
      <w:pPr>
        <w:pStyle w:val="ListParagraph"/>
        <w:numPr>
          <w:ilvl w:val="1"/>
          <w:numId w:val="6"/>
        </w:numPr>
        <w:ind w:left="709" w:hanging="851"/>
        <w:rPr>
          <w:rFonts w:ascii="Arial" w:hAnsi="Arial" w:cs="Arial"/>
          <w:b/>
        </w:rPr>
      </w:pPr>
      <w:r w:rsidRPr="00E40984">
        <w:rPr>
          <w:rFonts w:ascii="Arial" w:hAnsi="Arial" w:cs="Arial"/>
          <w:sz w:val="24"/>
          <w:szCs w:val="24"/>
        </w:rPr>
        <w:t xml:space="preserve">The Capital Receipts Reserve of £11.7m </w:t>
      </w:r>
      <w:r w:rsidR="00C3550F">
        <w:rPr>
          <w:rFonts w:ascii="Arial" w:hAnsi="Arial" w:cs="Arial"/>
          <w:sz w:val="24"/>
          <w:szCs w:val="24"/>
        </w:rPr>
        <w:t xml:space="preserve">in 2028/29 represents </w:t>
      </w:r>
      <w:r w:rsidR="009E26F6">
        <w:rPr>
          <w:rFonts w:ascii="Arial" w:hAnsi="Arial" w:cs="Arial"/>
          <w:sz w:val="24"/>
          <w:szCs w:val="24"/>
        </w:rPr>
        <w:t xml:space="preserve">the </w:t>
      </w:r>
      <w:r w:rsidR="00A914AE">
        <w:rPr>
          <w:rFonts w:ascii="Arial" w:hAnsi="Arial" w:cs="Arial"/>
          <w:sz w:val="24"/>
          <w:szCs w:val="24"/>
        </w:rPr>
        <w:t>forecast</w:t>
      </w:r>
      <w:r w:rsidR="00002D08">
        <w:rPr>
          <w:rFonts w:ascii="Arial" w:hAnsi="Arial" w:cs="Arial"/>
          <w:sz w:val="24"/>
          <w:szCs w:val="24"/>
        </w:rPr>
        <w:t xml:space="preserve"> </w:t>
      </w:r>
      <w:r w:rsidR="009E26F6">
        <w:rPr>
          <w:rFonts w:ascii="Arial" w:hAnsi="Arial" w:cs="Arial"/>
          <w:sz w:val="24"/>
          <w:szCs w:val="24"/>
        </w:rPr>
        <w:t xml:space="preserve">balance of </w:t>
      </w:r>
      <w:r w:rsidR="005815A3">
        <w:rPr>
          <w:rFonts w:ascii="Arial" w:hAnsi="Arial" w:cs="Arial"/>
          <w:sz w:val="24"/>
          <w:szCs w:val="24"/>
        </w:rPr>
        <w:t xml:space="preserve">capital </w:t>
      </w:r>
      <w:r w:rsidR="00C3550F">
        <w:rPr>
          <w:rFonts w:ascii="Arial" w:hAnsi="Arial" w:cs="Arial"/>
          <w:sz w:val="24"/>
          <w:szCs w:val="24"/>
        </w:rPr>
        <w:t xml:space="preserve">receipts </w:t>
      </w:r>
      <w:r w:rsidR="00A914AE">
        <w:rPr>
          <w:rFonts w:ascii="Arial" w:hAnsi="Arial" w:cs="Arial"/>
          <w:sz w:val="24"/>
          <w:szCs w:val="24"/>
        </w:rPr>
        <w:t xml:space="preserve">to be </w:t>
      </w:r>
      <w:r w:rsidR="00C3550F">
        <w:rPr>
          <w:rFonts w:ascii="Arial" w:hAnsi="Arial" w:cs="Arial"/>
          <w:sz w:val="24"/>
          <w:szCs w:val="24"/>
        </w:rPr>
        <w:t xml:space="preserve">received </w:t>
      </w:r>
      <w:r w:rsidR="00374F47">
        <w:rPr>
          <w:rFonts w:ascii="Arial" w:hAnsi="Arial" w:cs="Arial"/>
          <w:sz w:val="24"/>
          <w:szCs w:val="24"/>
        </w:rPr>
        <w:t xml:space="preserve">that have not been applied to finance that years’ capital </w:t>
      </w:r>
      <w:r w:rsidR="005815A3">
        <w:rPr>
          <w:rFonts w:ascii="Arial" w:hAnsi="Arial" w:cs="Arial"/>
          <w:sz w:val="24"/>
          <w:szCs w:val="24"/>
        </w:rPr>
        <w:t>expenditure</w:t>
      </w:r>
      <w:r w:rsidR="00374F47">
        <w:rPr>
          <w:rFonts w:ascii="Arial" w:hAnsi="Arial" w:cs="Arial"/>
          <w:sz w:val="24"/>
          <w:szCs w:val="24"/>
        </w:rPr>
        <w:t xml:space="preserve">. </w:t>
      </w:r>
      <w:r w:rsidR="00456233">
        <w:rPr>
          <w:rFonts w:ascii="Arial" w:hAnsi="Arial" w:cs="Arial"/>
          <w:sz w:val="24"/>
          <w:szCs w:val="24"/>
        </w:rPr>
        <w:t>(</w:t>
      </w:r>
      <w:r w:rsidR="00B81E31">
        <w:rPr>
          <w:rFonts w:ascii="Arial" w:hAnsi="Arial" w:cs="Arial"/>
          <w:sz w:val="24"/>
          <w:szCs w:val="24"/>
        </w:rPr>
        <w:t xml:space="preserve">£18m </w:t>
      </w:r>
      <w:r w:rsidR="009268F3">
        <w:rPr>
          <w:rFonts w:ascii="Arial" w:hAnsi="Arial" w:cs="Arial"/>
          <w:sz w:val="24"/>
          <w:szCs w:val="24"/>
        </w:rPr>
        <w:t xml:space="preserve">forecast to be received in 2028/29 </w:t>
      </w:r>
      <w:r w:rsidR="00456233">
        <w:rPr>
          <w:rFonts w:ascii="Arial" w:hAnsi="Arial" w:cs="Arial"/>
          <w:sz w:val="24"/>
          <w:szCs w:val="24"/>
        </w:rPr>
        <w:t>relat</w:t>
      </w:r>
      <w:r w:rsidR="00374F47">
        <w:rPr>
          <w:rFonts w:ascii="Arial" w:hAnsi="Arial" w:cs="Arial"/>
          <w:sz w:val="24"/>
          <w:szCs w:val="24"/>
        </w:rPr>
        <w:t xml:space="preserve">ing </w:t>
      </w:r>
      <w:r w:rsidR="00456233">
        <w:rPr>
          <w:rFonts w:ascii="Arial" w:hAnsi="Arial" w:cs="Arial"/>
          <w:sz w:val="24"/>
          <w:szCs w:val="24"/>
        </w:rPr>
        <w:t>to the sale of part of the Essex Police Headquarters site)</w:t>
      </w:r>
      <w:r w:rsidR="004E7AF0">
        <w:rPr>
          <w:rFonts w:ascii="Arial" w:hAnsi="Arial" w:cs="Arial"/>
          <w:sz w:val="24"/>
          <w:szCs w:val="24"/>
        </w:rPr>
        <w:t xml:space="preserve">. There are restrictions on the use of capital receipts and so this balance </w:t>
      </w:r>
      <w:r w:rsidR="006404DF">
        <w:rPr>
          <w:rFonts w:ascii="Arial" w:hAnsi="Arial" w:cs="Arial"/>
          <w:sz w:val="24"/>
          <w:szCs w:val="24"/>
        </w:rPr>
        <w:t xml:space="preserve">will be held to fund capital investment plans in </w:t>
      </w:r>
      <w:r w:rsidR="00160AC3">
        <w:rPr>
          <w:rFonts w:ascii="Arial" w:hAnsi="Arial" w:cs="Arial"/>
          <w:sz w:val="24"/>
          <w:szCs w:val="24"/>
        </w:rPr>
        <w:t xml:space="preserve">future </w:t>
      </w:r>
      <w:r w:rsidR="006404DF">
        <w:rPr>
          <w:rFonts w:ascii="Arial" w:hAnsi="Arial" w:cs="Arial"/>
          <w:sz w:val="24"/>
          <w:szCs w:val="24"/>
        </w:rPr>
        <w:t xml:space="preserve">years. </w:t>
      </w:r>
    </w:p>
    <w:p w14:paraId="2A23F1B8" w14:textId="77777777" w:rsidR="00335193" w:rsidRPr="00335193" w:rsidRDefault="00335193" w:rsidP="00335193">
      <w:pPr>
        <w:ind w:left="709"/>
        <w:rPr>
          <w:rFonts w:ascii="Arial" w:hAnsi="Arial" w:cs="Arial"/>
          <w:sz w:val="24"/>
          <w:szCs w:val="24"/>
        </w:rPr>
      </w:pPr>
    </w:p>
    <w:sectPr w:rsidR="00335193" w:rsidRPr="00335193" w:rsidSect="00A74361">
      <w:headerReference w:type="default" r:id="rId17"/>
      <w:footerReference w:type="default" r:id="rId1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2FDA" w14:textId="77777777" w:rsidR="00C8110A" w:rsidRDefault="00C8110A" w:rsidP="00110572">
      <w:pPr>
        <w:spacing w:after="0" w:line="240" w:lineRule="auto"/>
      </w:pPr>
      <w:r>
        <w:separator/>
      </w:r>
    </w:p>
  </w:endnote>
  <w:endnote w:type="continuationSeparator" w:id="0">
    <w:p w14:paraId="446F4D0C" w14:textId="77777777" w:rsidR="00C8110A" w:rsidRDefault="00C8110A" w:rsidP="0011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87092"/>
      <w:docPartObj>
        <w:docPartGallery w:val="Page Numbers (Bottom of Page)"/>
        <w:docPartUnique/>
      </w:docPartObj>
    </w:sdtPr>
    <w:sdtEndPr>
      <w:rPr>
        <w:noProof/>
      </w:rPr>
    </w:sdtEndPr>
    <w:sdtContent>
      <w:p w14:paraId="59D912A9" w14:textId="0B963FD8" w:rsidR="00837DDF" w:rsidRDefault="00837DDF" w:rsidP="00837DDF">
        <w:pPr>
          <w:pStyle w:val="Footer"/>
          <w:jc w:val="right"/>
        </w:pPr>
        <w:r>
          <w:t xml:space="preserve">Page | </w:t>
        </w:r>
        <w:r>
          <w:fldChar w:fldCharType="begin"/>
        </w:r>
        <w:r>
          <w:instrText xml:space="preserve"> PAGE   \* MERGEFORMAT </w:instrText>
        </w:r>
        <w:r>
          <w:fldChar w:fldCharType="separate"/>
        </w:r>
        <w:r w:rsidR="00C30EF7">
          <w:rPr>
            <w:noProof/>
          </w:rPr>
          <w:t>8</w:t>
        </w:r>
        <w:r>
          <w:rPr>
            <w:noProof/>
          </w:rPr>
          <w:fldChar w:fldCharType="end"/>
        </w:r>
      </w:p>
    </w:sdtContent>
  </w:sdt>
  <w:p w14:paraId="77ADCE9C" w14:textId="77777777" w:rsidR="00837DDF" w:rsidRDefault="0083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7C6E" w14:textId="77777777" w:rsidR="00C8110A" w:rsidRDefault="00C8110A" w:rsidP="00110572">
      <w:pPr>
        <w:spacing w:after="0" w:line="240" w:lineRule="auto"/>
      </w:pPr>
      <w:r>
        <w:separator/>
      </w:r>
    </w:p>
  </w:footnote>
  <w:footnote w:type="continuationSeparator" w:id="0">
    <w:p w14:paraId="6B4A9684" w14:textId="77777777" w:rsidR="00C8110A" w:rsidRDefault="00C8110A" w:rsidP="0011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7BC5" w14:textId="77777777" w:rsidR="00110572" w:rsidRDefault="00110572">
    <w:pPr>
      <w:pStyle w:val="Header"/>
    </w:pPr>
    <w:r>
      <w:rPr>
        <w:noProof/>
        <w:lang w:eastAsia="en-GB"/>
      </w:rPr>
      <w:drawing>
        <wp:inline distT="0" distB="0" distL="0" distR="0" wp14:anchorId="3F342EC7" wp14:editId="4FF35997">
          <wp:extent cx="952045" cy="428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196" cy="448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F74"/>
    <w:multiLevelType w:val="multilevel"/>
    <w:tmpl w:val="7C6A87B8"/>
    <w:lvl w:ilvl="0">
      <w:start w:val="1"/>
      <w:numFmt w:val="decimal"/>
      <w:lvlText w:val="%1."/>
      <w:lvlJc w:val="left"/>
      <w:pPr>
        <w:ind w:left="1152" w:hanging="360"/>
      </w:pPr>
      <w:rPr>
        <w:rFonts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1" w15:restartNumberingAfterBreak="0">
    <w:nsid w:val="02B90FA7"/>
    <w:multiLevelType w:val="hybridMultilevel"/>
    <w:tmpl w:val="50BEE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7D0D"/>
    <w:multiLevelType w:val="multilevel"/>
    <w:tmpl w:val="474CB11C"/>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C237E4"/>
    <w:multiLevelType w:val="hybridMultilevel"/>
    <w:tmpl w:val="607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335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90B89"/>
    <w:multiLevelType w:val="multilevel"/>
    <w:tmpl w:val="5B96EB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553428"/>
    <w:multiLevelType w:val="hybridMultilevel"/>
    <w:tmpl w:val="9E12C5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3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06F3D"/>
    <w:multiLevelType w:val="hybridMultilevel"/>
    <w:tmpl w:val="6F6AD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D1EA1"/>
    <w:multiLevelType w:val="multilevel"/>
    <w:tmpl w:val="7DDA816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619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585796"/>
    <w:multiLevelType w:val="multilevel"/>
    <w:tmpl w:val="5B96EB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70871"/>
    <w:multiLevelType w:val="hybridMultilevel"/>
    <w:tmpl w:val="FEF6D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2FD2"/>
    <w:multiLevelType w:val="hybridMultilevel"/>
    <w:tmpl w:val="B5A40D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999531C"/>
    <w:multiLevelType w:val="multilevel"/>
    <w:tmpl w:val="72B05C04"/>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2D5545"/>
    <w:multiLevelType w:val="hybridMultilevel"/>
    <w:tmpl w:val="1F3EDFB4"/>
    <w:lvl w:ilvl="0" w:tplc="02A0330E">
      <w:start w:val="1"/>
      <w:numFmt w:val="decimal"/>
      <w:lvlText w:val="%1)"/>
      <w:lvlJc w:val="left"/>
      <w:pPr>
        <w:ind w:left="927" w:hanging="360"/>
      </w:pPr>
      <w:rPr>
        <w:rFonts w:asciiTheme="minorHAnsi" w:hAnsiTheme="minorHAnsi" w:cstheme="minorBidi" w:hint="default"/>
        <w:b/>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C346556"/>
    <w:multiLevelType w:val="multilevel"/>
    <w:tmpl w:val="5B96EB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AD22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C46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6A4473"/>
    <w:multiLevelType w:val="hybridMultilevel"/>
    <w:tmpl w:val="83B65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594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AE5DC6"/>
    <w:multiLevelType w:val="multilevel"/>
    <w:tmpl w:val="A002E2C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6C4A98"/>
    <w:multiLevelType w:val="hybridMultilevel"/>
    <w:tmpl w:val="C1B838B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508C5483"/>
    <w:multiLevelType w:val="multilevel"/>
    <w:tmpl w:val="5B96EB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AE5325"/>
    <w:multiLevelType w:val="multilevel"/>
    <w:tmpl w:val="5E78AA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512D2A"/>
    <w:multiLevelType w:val="hybridMultilevel"/>
    <w:tmpl w:val="9F88D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85588"/>
    <w:multiLevelType w:val="hybridMultilevel"/>
    <w:tmpl w:val="EB442F64"/>
    <w:lvl w:ilvl="0" w:tplc="9D8A5AE8">
      <w:start w:val="1"/>
      <w:numFmt w:val="decimal"/>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A8D2F0A"/>
    <w:multiLevelType w:val="multilevel"/>
    <w:tmpl w:val="A7BEC3E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C11C00"/>
    <w:multiLevelType w:val="multilevel"/>
    <w:tmpl w:val="365CF9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27D38"/>
    <w:multiLevelType w:val="multilevel"/>
    <w:tmpl w:val="536272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A466E5"/>
    <w:multiLevelType w:val="hybridMultilevel"/>
    <w:tmpl w:val="2F7AB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875D65"/>
    <w:multiLevelType w:val="hybridMultilevel"/>
    <w:tmpl w:val="8E526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71D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47263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09364">
    <w:abstractNumId w:val="30"/>
  </w:num>
  <w:num w:numId="3" w16cid:durableId="83691820">
    <w:abstractNumId w:val="3"/>
  </w:num>
  <w:num w:numId="4" w16cid:durableId="721102124">
    <w:abstractNumId w:val="1"/>
  </w:num>
  <w:num w:numId="5" w16cid:durableId="1348406782">
    <w:abstractNumId w:val="22"/>
  </w:num>
  <w:num w:numId="6" w16cid:durableId="1850024361">
    <w:abstractNumId w:val="28"/>
  </w:num>
  <w:num w:numId="7" w16cid:durableId="646251211">
    <w:abstractNumId w:val="11"/>
  </w:num>
  <w:num w:numId="8" w16cid:durableId="469982461">
    <w:abstractNumId w:val="18"/>
  </w:num>
  <w:num w:numId="9" w16cid:durableId="477235327">
    <w:abstractNumId w:val="24"/>
  </w:num>
  <w:num w:numId="10" w16cid:durableId="1103723424">
    <w:abstractNumId w:val="4"/>
  </w:num>
  <w:num w:numId="11" w16cid:durableId="189034794">
    <w:abstractNumId w:val="2"/>
  </w:num>
  <w:num w:numId="12" w16cid:durableId="709652779">
    <w:abstractNumId w:val="20"/>
  </w:num>
  <w:num w:numId="13" w16cid:durableId="1409621210">
    <w:abstractNumId w:val="14"/>
  </w:num>
  <w:num w:numId="14" w16cid:durableId="9070236">
    <w:abstractNumId w:val="10"/>
  </w:num>
  <w:num w:numId="15" w16cid:durableId="807627529">
    <w:abstractNumId w:val="7"/>
  </w:num>
  <w:num w:numId="16" w16cid:durableId="989791634">
    <w:abstractNumId w:val="21"/>
  </w:num>
  <w:num w:numId="17" w16cid:durableId="1059475673">
    <w:abstractNumId w:val="32"/>
  </w:num>
  <w:num w:numId="18" w16cid:durableId="2055225669">
    <w:abstractNumId w:val="27"/>
  </w:num>
  <w:num w:numId="19" w16cid:durableId="1489204052">
    <w:abstractNumId w:val="0"/>
  </w:num>
  <w:num w:numId="20" w16cid:durableId="1807549344">
    <w:abstractNumId w:val="17"/>
  </w:num>
  <w:num w:numId="21" w16cid:durableId="1175653444">
    <w:abstractNumId w:val="25"/>
  </w:num>
  <w:num w:numId="22" w16cid:durableId="715352755">
    <w:abstractNumId w:val="12"/>
  </w:num>
  <w:num w:numId="23" w16cid:durableId="655188113">
    <w:abstractNumId w:val="8"/>
  </w:num>
  <w:num w:numId="24" w16cid:durableId="793408192">
    <w:abstractNumId w:val="31"/>
  </w:num>
  <w:num w:numId="25" w16cid:durableId="1688286813">
    <w:abstractNumId w:val="13"/>
  </w:num>
  <w:num w:numId="26" w16cid:durableId="1379745972">
    <w:abstractNumId w:val="19"/>
  </w:num>
  <w:num w:numId="27" w16cid:durableId="316694901">
    <w:abstractNumId w:val="29"/>
  </w:num>
  <w:num w:numId="28" w16cid:durableId="813109694">
    <w:abstractNumId w:val="23"/>
  </w:num>
  <w:num w:numId="29" w16cid:durableId="1589004135">
    <w:abstractNumId w:val="16"/>
  </w:num>
  <w:num w:numId="30" w16cid:durableId="323362001">
    <w:abstractNumId w:val="5"/>
  </w:num>
  <w:num w:numId="31" w16cid:durableId="814878411">
    <w:abstractNumId w:val="26"/>
  </w:num>
  <w:num w:numId="32" w16cid:durableId="1909221644">
    <w:abstractNumId w:val="15"/>
  </w:num>
  <w:num w:numId="33" w16cid:durableId="1674070615">
    <w:abstractNumId w:val="9"/>
  </w:num>
  <w:num w:numId="34" w16cid:durableId="404036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33"/>
    <w:rsid w:val="00002D08"/>
    <w:rsid w:val="000060A4"/>
    <w:rsid w:val="0002456C"/>
    <w:rsid w:val="00024E76"/>
    <w:rsid w:val="00044628"/>
    <w:rsid w:val="00055886"/>
    <w:rsid w:val="00072F59"/>
    <w:rsid w:val="00075838"/>
    <w:rsid w:val="000858CB"/>
    <w:rsid w:val="00087F4C"/>
    <w:rsid w:val="000A3364"/>
    <w:rsid w:val="000A7A0D"/>
    <w:rsid w:val="000B5F43"/>
    <w:rsid w:val="000B799D"/>
    <w:rsid w:val="000C170C"/>
    <w:rsid w:val="000C3AC4"/>
    <w:rsid w:val="000C672E"/>
    <w:rsid w:val="000D378B"/>
    <w:rsid w:val="000D5CB9"/>
    <w:rsid w:val="000D7B78"/>
    <w:rsid w:val="000E0DDD"/>
    <w:rsid w:val="000E21A2"/>
    <w:rsid w:val="000E38FD"/>
    <w:rsid w:val="0010212F"/>
    <w:rsid w:val="00110572"/>
    <w:rsid w:val="0011423F"/>
    <w:rsid w:val="001377CE"/>
    <w:rsid w:val="00141657"/>
    <w:rsid w:val="00146524"/>
    <w:rsid w:val="00152E69"/>
    <w:rsid w:val="001574ED"/>
    <w:rsid w:val="00160AC3"/>
    <w:rsid w:val="00162DCD"/>
    <w:rsid w:val="0016446A"/>
    <w:rsid w:val="00167C42"/>
    <w:rsid w:val="00175157"/>
    <w:rsid w:val="00182F56"/>
    <w:rsid w:val="001857A4"/>
    <w:rsid w:val="00196BF4"/>
    <w:rsid w:val="001A405B"/>
    <w:rsid w:val="001B35D8"/>
    <w:rsid w:val="001B43EB"/>
    <w:rsid w:val="001C549D"/>
    <w:rsid w:val="001D664E"/>
    <w:rsid w:val="001E5A49"/>
    <w:rsid w:val="001F1224"/>
    <w:rsid w:val="001F2855"/>
    <w:rsid w:val="001F3EE1"/>
    <w:rsid w:val="00206611"/>
    <w:rsid w:val="00206AC7"/>
    <w:rsid w:val="00222E1D"/>
    <w:rsid w:val="002249B5"/>
    <w:rsid w:val="00226E84"/>
    <w:rsid w:val="00240740"/>
    <w:rsid w:val="00243633"/>
    <w:rsid w:val="00254DF4"/>
    <w:rsid w:val="002626CC"/>
    <w:rsid w:val="0028245D"/>
    <w:rsid w:val="00287D02"/>
    <w:rsid w:val="002916D8"/>
    <w:rsid w:val="00291B9B"/>
    <w:rsid w:val="00294BAE"/>
    <w:rsid w:val="00294E7E"/>
    <w:rsid w:val="002A24B1"/>
    <w:rsid w:val="002B6022"/>
    <w:rsid w:val="002B604B"/>
    <w:rsid w:val="002B7126"/>
    <w:rsid w:val="002E0500"/>
    <w:rsid w:val="002E63CB"/>
    <w:rsid w:val="00303CF4"/>
    <w:rsid w:val="003139C6"/>
    <w:rsid w:val="00315A0D"/>
    <w:rsid w:val="003231C4"/>
    <w:rsid w:val="00326626"/>
    <w:rsid w:val="003303C1"/>
    <w:rsid w:val="00335193"/>
    <w:rsid w:val="00344462"/>
    <w:rsid w:val="00347E60"/>
    <w:rsid w:val="003548F5"/>
    <w:rsid w:val="00360DE6"/>
    <w:rsid w:val="0036135B"/>
    <w:rsid w:val="003676C7"/>
    <w:rsid w:val="0037123E"/>
    <w:rsid w:val="00374F47"/>
    <w:rsid w:val="00383697"/>
    <w:rsid w:val="00393962"/>
    <w:rsid w:val="00393CB1"/>
    <w:rsid w:val="00396FBA"/>
    <w:rsid w:val="003B3312"/>
    <w:rsid w:val="003C7BF9"/>
    <w:rsid w:val="003D322D"/>
    <w:rsid w:val="003D34A0"/>
    <w:rsid w:val="004175B1"/>
    <w:rsid w:val="00422BCF"/>
    <w:rsid w:val="00425095"/>
    <w:rsid w:val="004468AD"/>
    <w:rsid w:val="00446B0B"/>
    <w:rsid w:val="00454BCB"/>
    <w:rsid w:val="00456233"/>
    <w:rsid w:val="004653A0"/>
    <w:rsid w:val="004732E5"/>
    <w:rsid w:val="00482600"/>
    <w:rsid w:val="00483D0D"/>
    <w:rsid w:val="004938BA"/>
    <w:rsid w:val="004B6040"/>
    <w:rsid w:val="004B771E"/>
    <w:rsid w:val="004D1DC5"/>
    <w:rsid w:val="004D277F"/>
    <w:rsid w:val="004D4B32"/>
    <w:rsid w:val="004E7AF0"/>
    <w:rsid w:val="004F7FCE"/>
    <w:rsid w:val="00500640"/>
    <w:rsid w:val="0050217D"/>
    <w:rsid w:val="00507EBE"/>
    <w:rsid w:val="00512476"/>
    <w:rsid w:val="00514A7F"/>
    <w:rsid w:val="00521001"/>
    <w:rsid w:val="00523563"/>
    <w:rsid w:val="00525E16"/>
    <w:rsid w:val="00530E5E"/>
    <w:rsid w:val="00534836"/>
    <w:rsid w:val="00536D1F"/>
    <w:rsid w:val="00537581"/>
    <w:rsid w:val="005375C0"/>
    <w:rsid w:val="00542268"/>
    <w:rsid w:val="00556B5F"/>
    <w:rsid w:val="00577B7A"/>
    <w:rsid w:val="005803B7"/>
    <w:rsid w:val="005815A3"/>
    <w:rsid w:val="00582062"/>
    <w:rsid w:val="00587472"/>
    <w:rsid w:val="0059593C"/>
    <w:rsid w:val="005B007F"/>
    <w:rsid w:val="005B58B1"/>
    <w:rsid w:val="005C2EBB"/>
    <w:rsid w:val="005D3B91"/>
    <w:rsid w:val="005D7178"/>
    <w:rsid w:val="005E003D"/>
    <w:rsid w:val="005E1107"/>
    <w:rsid w:val="005F7B69"/>
    <w:rsid w:val="006022EA"/>
    <w:rsid w:val="0061272C"/>
    <w:rsid w:val="00613880"/>
    <w:rsid w:val="006149C5"/>
    <w:rsid w:val="0062034C"/>
    <w:rsid w:val="00624DF6"/>
    <w:rsid w:val="006404DF"/>
    <w:rsid w:val="00641566"/>
    <w:rsid w:val="006419D1"/>
    <w:rsid w:val="006621E1"/>
    <w:rsid w:val="00677D52"/>
    <w:rsid w:val="00684D1F"/>
    <w:rsid w:val="006937DE"/>
    <w:rsid w:val="006945EF"/>
    <w:rsid w:val="006A0DD6"/>
    <w:rsid w:val="006B6CBD"/>
    <w:rsid w:val="006C42B0"/>
    <w:rsid w:val="006D125F"/>
    <w:rsid w:val="006F1804"/>
    <w:rsid w:val="006F337E"/>
    <w:rsid w:val="00701BE4"/>
    <w:rsid w:val="007128C5"/>
    <w:rsid w:val="00716F2A"/>
    <w:rsid w:val="0072663C"/>
    <w:rsid w:val="007328A3"/>
    <w:rsid w:val="00741A0C"/>
    <w:rsid w:val="00742615"/>
    <w:rsid w:val="0075386F"/>
    <w:rsid w:val="00771CCC"/>
    <w:rsid w:val="007754F0"/>
    <w:rsid w:val="007817C9"/>
    <w:rsid w:val="007857C8"/>
    <w:rsid w:val="007874BF"/>
    <w:rsid w:val="00787AF6"/>
    <w:rsid w:val="00793213"/>
    <w:rsid w:val="00797363"/>
    <w:rsid w:val="007A1C09"/>
    <w:rsid w:val="007A2189"/>
    <w:rsid w:val="007B53AB"/>
    <w:rsid w:val="007C31D7"/>
    <w:rsid w:val="007D7B13"/>
    <w:rsid w:val="007E4186"/>
    <w:rsid w:val="007F7B53"/>
    <w:rsid w:val="008133CA"/>
    <w:rsid w:val="0081418B"/>
    <w:rsid w:val="00816A46"/>
    <w:rsid w:val="00820AF9"/>
    <w:rsid w:val="00821CB1"/>
    <w:rsid w:val="008252D6"/>
    <w:rsid w:val="008272E9"/>
    <w:rsid w:val="00833C0D"/>
    <w:rsid w:val="00834621"/>
    <w:rsid w:val="00834C35"/>
    <w:rsid w:val="00837DDF"/>
    <w:rsid w:val="00842B89"/>
    <w:rsid w:val="00843E49"/>
    <w:rsid w:val="00846C63"/>
    <w:rsid w:val="00850FD2"/>
    <w:rsid w:val="008606F1"/>
    <w:rsid w:val="008648B5"/>
    <w:rsid w:val="00864C04"/>
    <w:rsid w:val="0088777B"/>
    <w:rsid w:val="0089126D"/>
    <w:rsid w:val="00892439"/>
    <w:rsid w:val="008938FE"/>
    <w:rsid w:val="00894DCA"/>
    <w:rsid w:val="008C417D"/>
    <w:rsid w:val="008C6BD5"/>
    <w:rsid w:val="008C7D30"/>
    <w:rsid w:val="008D2550"/>
    <w:rsid w:val="008D51AA"/>
    <w:rsid w:val="008E2D97"/>
    <w:rsid w:val="008F592D"/>
    <w:rsid w:val="0090430E"/>
    <w:rsid w:val="0090588F"/>
    <w:rsid w:val="009078DB"/>
    <w:rsid w:val="00910A1D"/>
    <w:rsid w:val="009129F1"/>
    <w:rsid w:val="00914BCB"/>
    <w:rsid w:val="009165EC"/>
    <w:rsid w:val="0092431B"/>
    <w:rsid w:val="009268F3"/>
    <w:rsid w:val="009505F2"/>
    <w:rsid w:val="009542AA"/>
    <w:rsid w:val="009732FB"/>
    <w:rsid w:val="00981C65"/>
    <w:rsid w:val="00986E69"/>
    <w:rsid w:val="00987327"/>
    <w:rsid w:val="00997C06"/>
    <w:rsid w:val="009B3294"/>
    <w:rsid w:val="009C5C2E"/>
    <w:rsid w:val="009D1827"/>
    <w:rsid w:val="009E236D"/>
    <w:rsid w:val="009E26F6"/>
    <w:rsid w:val="009F54BF"/>
    <w:rsid w:val="009F780B"/>
    <w:rsid w:val="009F7C67"/>
    <w:rsid w:val="00A04D4D"/>
    <w:rsid w:val="00A10B8E"/>
    <w:rsid w:val="00A10C86"/>
    <w:rsid w:val="00A1322D"/>
    <w:rsid w:val="00A15A1F"/>
    <w:rsid w:val="00A203B7"/>
    <w:rsid w:val="00A23B64"/>
    <w:rsid w:val="00A31FA9"/>
    <w:rsid w:val="00A46DCB"/>
    <w:rsid w:val="00A57250"/>
    <w:rsid w:val="00A57392"/>
    <w:rsid w:val="00A74361"/>
    <w:rsid w:val="00A74608"/>
    <w:rsid w:val="00A75005"/>
    <w:rsid w:val="00A778CE"/>
    <w:rsid w:val="00A876DD"/>
    <w:rsid w:val="00A900A2"/>
    <w:rsid w:val="00A914AE"/>
    <w:rsid w:val="00AA02C2"/>
    <w:rsid w:val="00AA1A7C"/>
    <w:rsid w:val="00AA7A76"/>
    <w:rsid w:val="00AD0E05"/>
    <w:rsid w:val="00AD1CA5"/>
    <w:rsid w:val="00AE73B3"/>
    <w:rsid w:val="00AF2FB8"/>
    <w:rsid w:val="00AF537D"/>
    <w:rsid w:val="00AF66DB"/>
    <w:rsid w:val="00B04EBC"/>
    <w:rsid w:val="00B0657D"/>
    <w:rsid w:val="00B11ECA"/>
    <w:rsid w:val="00B1485A"/>
    <w:rsid w:val="00B17263"/>
    <w:rsid w:val="00B231C3"/>
    <w:rsid w:val="00B316F2"/>
    <w:rsid w:val="00B36FB8"/>
    <w:rsid w:val="00B62A22"/>
    <w:rsid w:val="00B81E31"/>
    <w:rsid w:val="00B91EE0"/>
    <w:rsid w:val="00B925AD"/>
    <w:rsid w:val="00B94A11"/>
    <w:rsid w:val="00BA684B"/>
    <w:rsid w:val="00BC6FE1"/>
    <w:rsid w:val="00BE10CC"/>
    <w:rsid w:val="00BF4342"/>
    <w:rsid w:val="00BF4AF0"/>
    <w:rsid w:val="00BF6934"/>
    <w:rsid w:val="00C04026"/>
    <w:rsid w:val="00C14E50"/>
    <w:rsid w:val="00C212BB"/>
    <w:rsid w:val="00C270AD"/>
    <w:rsid w:val="00C30EF7"/>
    <w:rsid w:val="00C3550F"/>
    <w:rsid w:val="00C41414"/>
    <w:rsid w:val="00C41F1E"/>
    <w:rsid w:val="00C57D5A"/>
    <w:rsid w:val="00C63767"/>
    <w:rsid w:val="00C7659B"/>
    <w:rsid w:val="00C8110A"/>
    <w:rsid w:val="00C92450"/>
    <w:rsid w:val="00C967F4"/>
    <w:rsid w:val="00CA094D"/>
    <w:rsid w:val="00CA1519"/>
    <w:rsid w:val="00CC494E"/>
    <w:rsid w:val="00CC7963"/>
    <w:rsid w:val="00CD0687"/>
    <w:rsid w:val="00CD52E0"/>
    <w:rsid w:val="00CE18E8"/>
    <w:rsid w:val="00CF06DE"/>
    <w:rsid w:val="00CF2247"/>
    <w:rsid w:val="00CF5BD1"/>
    <w:rsid w:val="00D06C92"/>
    <w:rsid w:val="00D070F7"/>
    <w:rsid w:val="00D10D1D"/>
    <w:rsid w:val="00D161C7"/>
    <w:rsid w:val="00D3145F"/>
    <w:rsid w:val="00D344B2"/>
    <w:rsid w:val="00D35F6C"/>
    <w:rsid w:val="00D47C6B"/>
    <w:rsid w:val="00D61627"/>
    <w:rsid w:val="00D61F7C"/>
    <w:rsid w:val="00D7769C"/>
    <w:rsid w:val="00D84714"/>
    <w:rsid w:val="00D93D93"/>
    <w:rsid w:val="00D95DFD"/>
    <w:rsid w:val="00DA0136"/>
    <w:rsid w:val="00DA44F2"/>
    <w:rsid w:val="00DB3BA3"/>
    <w:rsid w:val="00DC17B5"/>
    <w:rsid w:val="00DD4307"/>
    <w:rsid w:val="00DF225A"/>
    <w:rsid w:val="00E154A0"/>
    <w:rsid w:val="00E40984"/>
    <w:rsid w:val="00E50A3F"/>
    <w:rsid w:val="00E52794"/>
    <w:rsid w:val="00E559D3"/>
    <w:rsid w:val="00E60D04"/>
    <w:rsid w:val="00E62ED0"/>
    <w:rsid w:val="00E706CA"/>
    <w:rsid w:val="00E91F68"/>
    <w:rsid w:val="00E965F9"/>
    <w:rsid w:val="00EA2D2E"/>
    <w:rsid w:val="00EA7E41"/>
    <w:rsid w:val="00EC45E7"/>
    <w:rsid w:val="00EC7561"/>
    <w:rsid w:val="00ED1DC7"/>
    <w:rsid w:val="00ED3370"/>
    <w:rsid w:val="00ED39E9"/>
    <w:rsid w:val="00EE7933"/>
    <w:rsid w:val="00EF0950"/>
    <w:rsid w:val="00EF1265"/>
    <w:rsid w:val="00EF32BC"/>
    <w:rsid w:val="00F141F4"/>
    <w:rsid w:val="00F14CCB"/>
    <w:rsid w:val="00F26C9B"/>
    <w:rsid w:val="00F273E6"/>
    <w:rsid w:val="00F3134E"/>
    <w:rsid w:val="00F36A69"/>
    <w:rsid w:val="00F4783A"/>
    <w:rsid w:val="00F556D8"/>
    <w:rsid w:val="00F56259"/>
    <w:rsid w:val="00F57EA5"/>
    <w:rsid w:val="00F6534C"/>
    <w:rsid w:val="00F66003"/>
    <w:rsid w:val="00F71113"/>
    <w:rsid w:val="00F74C75"/>
    <w:rsid w:val="00F77262"/>
    <w:rsid w:val="00F81AEA"/>
    <w:rsid w:val="00F84EAC"/>
    <w:rsid w:val="00F964EF"/>
    <w:rsid w:val="00FA7ACA"/>
    <w:rsid w:val="00FE371D"/>
    <w:rsid w:val="00FE6252"/>
    <w:rsid w:val="00FF0970"/>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28C09"/>
  <w15:docId w15:val="{AE5F6313-B312-49C0-8E74-86F56530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C0"/>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11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572"/>
  </w:style>
  <w:style w:type="paragraph" w:styleId="Footer">
    <w:name w:val="footer"/>
    <w:basedOn w:val="Normal"/>
    <w:link w:val="FooterChar"/>
    <w:uiPriority w:val="99"/>
    <w:unhideWhenUsed/>
    <w:rsid w:val="0011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572"/>
  </w:style>
  <w:style w:type="character" w:styleId="CommentReference">
    <w:name w:val="annotation reference"/>
    <w:basedOn w:val="DefaultParagraphFont"/>
    <w:uiPriority w:val="99"/>
    <w:semiHidden/>
    <w:unhideWhenUsed/>
    <w:rsid w:val="000E21A2"/>
    <w:rPr>
      <w:sz w:val="16"/>
      <w:szCs w:val="16"/>
    </w:rPr>
  </w:style>
  <w:style w:type="paragraph" w:styleId="CommentText">
    <w:name w:val="annotation text"/>
    <w:basedOn w:val="Normal"/>
    <w:link w:val="CommentTextChar"/>
    <w:uiPriority w:val="99"/>
    <w:unhideWhenUsed/>
    <w:rsid w:val="000E21A2"/>
    <w:pPr>
      <w:spacing w:line="240" w:lineRule="auto"/>
    </w:pPr>
    <w:rPr>
      <w:sz w:val="20"/>
      <w:szCs w:val="20"/>
    </w:rPr>
  </w:style>
  <w:style w:type="character" w:customStyle="1" w:styleId="CommentTextChar">
    <w:name w:val="Comment Text Char"/>
    <w:basedOn w:val="DefaultParagraphFont"/>
    <w:link w:val="CommentText"/>
    <w:uiPriority w:val="99"/>
    <w:rsid w:val="000E21A2"/>
    <w:rPr>
      <w:sz w:val="20"/>
      <w:szCs w:val="20"/>
    </w:rPr>
  </w:style>
  <w:style w:type="paragraph" w:styleId="CommentSubject">
    <w:name w:val="annotation subject"/>
    <w:basedOn w:val="CommentText"/>
    <w:next w:val="CommentText"/>
    <w:link w:val="CommentSubjectChar"/>
    <w:uiPriority w:val="99"/>
    <w:semiHidden/>
    <w:unhideWhenUsed/>
    <w:rsid w:val="000E21A2"/>
    <w:rPr>
      <w:b/>
      <w:bCs/>
    </w:rPr>
  </w:style>
  <w:style w:type="character" w:customStyle="1" w:styleId="CommentSubjectChar">
    <w:name w:val="Comment Subject Char"/>
    <w:basedOn w:val="CommentTextChar"/>
    <w:link w:val="CommentSubject"/>
    <w:uiPriority w:val="99"/>
    <w:semiHidden/>
    <w:rsid w:val="000E21A2"/>
    <w:rPr>
      <w:b/>
      <w:bCs/>
      <w:sz w:val="20"/>
      <w:szCs w:val="20"/>
    </w:rPr>
  </w:style>
  <w:style w:type="paragraph" w:styleId="BalloonText">
    <w:name w:val="Balloon Text"/>
    <w:basedOn w:val="Normal"/>
    <w:link w:val="BalloonTextChar"/>
    <w:uiPriority w:val="99"/>
    <w:semiHidden/>
    <w:unhideWhenUsed/>
    <w:rsid w:val="000E2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A2"/>
    <w:rPr>
      <w:rFonts w:ascii="Segoe UI" w:hAnsi="Segoe UI" w:cs="Segoe UI"/>
      <w:sz w:val="18"/>
      <w:szCs w:val="18"/>
    </w:rPr>
  </w:style>
  <w:style w:type="paragraph" w:styleId="Revision">
    <w:name w:val="Revision"/>
    <w:hidden/>
    <w:uiPriority w:val="99"/>
    <w:semiHidden/>
    <w:rsid w:val="00F1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2652">
      <w:bodyDiv w:val="1"/>
      <w:marLeft w:val="0"/>
      <w:marRight w:val="0"/>
      <w:marTop w:val="0"/>
      <w:marBottom w:val="0"/>
      <w:divBdr>
        <w:top w:val="none" w:sz="0" w:space="0" w:color="auto"/>
        <w:left w:val="none" w:sz="0" w:space="0" w:color="auto"/>
        <w:bottom w:val="none" w:sz="0" w:space="0" w:color="auto"/>
        <w:right w:val="none" w:sz="0" w:space="0" w:color="auto"/>
      </w:divBdr>
    </w:div>
    <w:div w:id="112631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595667759429"/>
          <c:y val="3.2300690060196743E-2"/>
          <c:w val="0.83348946046141115"/>
          <c:h val="0.71878700157341591"/>
        </c:manualLayout>
      </c:layout>
      <c:lineChart>
        <c:grouping val="standard"/>
        <c:varyColors val="0"/>
        <c:ser>
          <c:idx val="0"/>
          <c:order val="0"/>
          <c:tx>
            <c:strRef>
              <c:f>Sheet2!$C$5</c:f>
              <c:strCache>
                <c:ptCount val="1"/>
                <c:pt idx="0">
                  <c:v>General Reserve</c:v>
                </c:pt>
              </c:strCache>
            </c:strRef>
          </c:tx>
          <c:spPr>
            <a:ln w="28575" cap="rnd">
              <a:solidFill>
                <a:srgbClr val="FF0000"/>
              </a:solidFill>
              <a:round/>
            </a:ln>
            <a:effectLst/>
          </c:spPr>
          <c:marker>
            <c:symbol val="none"/>
          </c:marker>
          <c:dLbls>
            <c:dLbl>
              <c:idx val="0"/>
              <c:layout>
                <c:manualLayout>
                  <c:x val="-9.727626459143969E-3"/>
                  <c:y val="-2.0554984583761562E-2"/>
                </c:manualLayout>
              </c:layout>
              <c:tx>
                <c:rich>
                  <a:bodyPr/>
                  <a:lstStyle/>
                  <a:p>
                    <a:fld id="{E3EF49CE-E511-4BD9-87F7-43106B5C5162}"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298-42BF-85A7-70E3D1231175}"/>
                </c:ext>
              </c:extLst>
            </c:dLbl>
            <c:dLbl>
              <c:idx val="1"/>
              <c:layout>
                <c:manualLayout>
                  <c:x val="-9.4844357976653693E-2"/>
                  <c:y val="1.7618558214652739E-2"/>
                </c:manualLayout>
              </c:layout>
              <c:tx>
                <c:rich>
                  <a:bodyPr/>
                  <a:lstStyle/>
                  <a:p>
                    <a:fld id="{32CBC229-6387-4A77-9F65-BD3B7DAC3D33}"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98-42BF-85A7-70E3D1231175}"/>
                </c:ext>
              </c:extLst>
            </c:dLbl>
            <c:dLbl>
              <c:idx val="2"/>
              <c:layout>
                <c:manualLayout>
                  <c:x val="-1.2159533073929961E-2"/>
                  <c:y val="-2.9364263691087945E-3"/>
                </c:manualLayout>
              </c:layout>
              <c:tx>
                <c:rich>
                  <a:bodyPr/>
                  <a:lstStyle/>
                  <a:p>
                    <a:fld id="{12D6CDB8-7C15-423A-BCF8-414D07554536}"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298-42BF-85A7-70E3D1231175}"/>
                </c:ext>
              </c:extLst>
            </c:dLbl>
            <c:dLbl>
              <c:idx val="3"/>
              <c:layout>
                <c:manualLayout>
                  <c:x val="-7.7821011673151752E-2"/>
                  <c:y val="2.055498458376151E-2"/>
                </c:manualLayout>
              </c:layout>
              <c:tx>
                <c:rich>
                  <a:bodyPr/>
                  <a:lstStyle/>
                  <a:p>
                    <a:fld id="{E3C35BB8-6133-42BE-B88F-3E5473322716}"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298-42BF-85A7-70E3D1231175}"/>
                </c:ext>
              </c:extLst>
            </c:dLbl>
            <c:dLbl>
              <c:idx val="4"/>
              <c:layout>
                <c:manualLayout>
                  <c:x val="-5.3501945525291875E-2"/>
                  <c:y val="1.7618558214652767E-2"/>
                </c:manualLayout>
              </c:layout>
              <c:tx>
                <c:rich>
                  <a:bodyPr/>
                  <a:lstStyle/>
                  <a:p>
                    <a:fld id="{21574AC6-51A7-4295-A2B6-819EF69D0314}"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298-42BF-85A7-70E3D1231175}"/>
                </c:ext>
              </c:extLst>
            </c:dLbl>
            <c:dLbl>
              <c:idx val="5"/>
              <c:layout>
                <c:manualLayout>
                  <c:x val="-5.5933852140077824E-2"/>
                  <c:y val="-3.2300690060196743E-2"/>
                </c:manualLayout>
              </c:layout>
              <c:tx>
                <c:rich>
                  <a:bodyPr/>
                  <a:lstStyle/>
                  <a:p>
                    <a:fld id="{D32FA556-52E9-415E-A66F-A87FD3C08AFF}"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298-42BF-85A7-70E3D1231175}"/>
                </c:ext>
              </c:extLst>
            </c:dLbl>
            <c:dLbl>
              <c:idx val="6"/>
              <c:layout>
                <c:manualLayout>
                  <c:x val="-1.9455252918287938E-2"/>
                  <c:y val="-1.468201623820666E-2"/>
                </c:manualLayout>
              </c:layout>
              <c:tx>
                <c:rich>
                  <a:bodyPr/>
                  <a:lstStyle/>
                  <a:p>
                    <a:fld id="{3049DE8B-B832-4356-BDCF-5EC188164D31}"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layout>
                    <c:manualLayout>
                      <c:w val="9.6412841998835749E-2"/>
                      <c:h val="4.1066038379323849E-2"/>
                    </c:manualLayout>
                  </c15:layout>
                  <c15:dlblFieldTable/>
                  <c15:showDataLabelsRange val="0"/>
                </c:ext>
                <c:ext xmlns:c16="http://schemas.microsoft.com/office/drawing/2014/chart" uri="{C3380CC4-5D6E-409C-BE32-E72D297353CC}">
                  <c16:uniqueId val="{00000008-B298-42BF-85A7-70E3D1231175}"/>
                </c:ext>
              </c:extLst>
            </c:dLbl>
            <c:dLbl>
              <c:idx val="7"/>
              <c:layout>
                <c:manualLayout>
                  <c:x val="-6.8093385214007873E-2"/>
                  <c:y val="2.0555100191098821E-2"/>
                </c:manualLayout>
              </c:layout>
              <c:tx>
                <c:rich>
                  <a:bodyPr/>
                  <a:lstStyle/>
                  <a:p>
                    <a:fld id="{0C08C71E-2D7E-4756-9D1F-BE31BAD5B6C9}"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layout>
                    <c:manualLayout>
                      <c:w val="0.10234669413891356"/>
                      <c:h val="4.1066038379323849E-2"/>
                    </c:manualLayout>
                  </c15:layout>
                  <c15:dlblFieldTable/>
                  <c15:showDataLabelsRange val="0"/>
                </c:ext>
                <c:ext xmlns:c16="http://schemas.microsoft.com/office/drawing/2014/chart" uri="{C3380CC4-5D6E-409C-BE32-E72D297353CC}">
                  <c16:uniqueId val="{00000009-B298-42BF-85A7-70E3D1231175}"/>
                </c:ext>
              </c:extLst>
            </c:dLbl>
            <c:dLbl>
              <c:idx val="8"/>
              <c:tx>
                <c:rich>
                  <a:bodyPr/>
                  <a:lstStyle/>
                  <a:p>
                    <a:fld id="{DD985B00-C3CB-4FF9-A60D-3D6EA5C7A775}"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layout>
                    <c:manualLayout>
                      <c:w val="7.5595721376267661E-2"/>
                      <c:h val="4.1066038379323849E-2"/>
                    </c:manualLayout>
                  </c15:layout>
                  <c15:dlblFieldTable/>
                  <c15:showDataLabelsRange val="0"/>
                </c:ext>
                <c:ext xmlns:c16="http://schemas.microsoft.com/office/drawing/2014/chart" uri="{C3380CC4-5D6E-409C-BE32-E72D297353CC}">
                  <c16:uniqueId val="{0000000A-B298-42BF-85A7-70E3D1231175}"/>
                </c:ext>
              </c:extLst>
            </c:dLbl>
            <c:dLbl>
              <c:idx val="9"/>
              <c:layout>
                <c:manualLayout>
                  <c:x val="-2.3870467415369863E-2"/>
                  <c:y val="2.0555062526731855E-2"/>
                </c:manualLayout>
              </c:layout>
              <c:tx>
                <c:rich>
                  <a:bodyPr/>
                  <a:lstStyle/>
                  <a:p>
                    <a:fld id="{8FCEEE1D-B6DF-49D0-84E1-5A0314F4A69C}"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layout>
                    <c:manualLayout>
                      <c:w val="7.9552733036839782E-2"/>
                      <c:h val="3.3465037975780661E-2"/>
                    </c:manualLayout>
                  </c15:layout>
                  <c15:dlblFieldTable/>
                  <c15:showDataLabelsRange val="0"/>
                </c:ext>
                <c:ext xmlns:c16="http://schemas.microsoft.com/office/drawing/2014/chart" uri="{C3380CC4-5D6E-409C-BE32-E72D297353CC}">
                  <c16:uniqueId val="{0000000B-B298-42BF-85A7-70E3D1231175}"/>
                </c:ext>
              </c:extLst>
            </c:dLbl>
            <c:dLbl>
              <c:idx val="10"/>
              <c:layout>
                <c:manualLayout>
                  <c:x val="-5.35019959371223E-2"/>
                  <c:y val="-1.9792626424209536E-2"/>
                </c:manualLayout>
              </c:layout>
              <c:tx>
                <c:rich>
                  <a:bodyPr/>
                  <a:lstStyle/>
                  <a:p>
                    <a:r>
                      <a:rPr lang="en-US"/>
                      <a:t>£14.8m</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298-42BF-85A7-70E3D1231175}"/>
                </c:ext>
              </c:extLst>
            </c:dLbl>
            <c:dLbl>
              <c:idx val="11"/>
              <c:tx>
                <c:rich>
                  <a:bodyPr/>
                  <a:lstStyle/>
                  <a:p>
                    <a:fld id="{CFB5E223-3DB3-4E9D-9CB4-36553E0F3F2F}"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298-42BF-85A7-70E3D1231175}"/>
                </c:ext>
              </c:extLst>
            </c:dLbl>
            <c:dLbl>
              <c:idx val="12"/>
              <c:layout>
                <c:manualLayout>
                  <c:x val="-2.6750997968561108E-2"/>
                  <c:y val="1.8486696700600866E-2"/>
                </c:manualLayout>
              </c:layout>
              <c:tx>
                <c:rich>
                  <a:bodyPr/>
                  <a:lstStyle/>
                  <a:p>
                    <a:fld id="{9595F7BC-CB2B-4C7D-831C-3D0332D453A4}"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B298-42BF-85A7-70E3D1231175}"/>
                </c:ext>
              </c:extLst>
            </c:dLbl>
            <c:dLbl>
              <c:idx val="13"/>
              <c:tx>
                <c:rich>
                  <a:bodyPr/>
                  <a:lstStyle/>
                  <a:p>
                    <a:fld id="{995FC2D3-A652-4250-946A-420294A8EFCC}" type="VALUE">
                      <a:rPr lang="en-US"/>
                      <a:pPr/>
                      <a:t>[VALUE]</a:t>
                    </a:fld>
                    <a:r>
                      <a:rPr lang="en-US"/>
                      <a:t>m</a:t>
                    </a:r>
                  </a:p>
                  <a:p>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133-40BF-94FF-CF8A863893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 </c:v>
                </c:pt>
                <c:pt idx="12">
                  <c:v>2023/24 forecast</c:v>
                </c:pt>
                <c:pt idx="13">
                  <c:v>2024/25 budget</c:v>
                </c:pt>
              </c:strCache>
            </c:strRef>
          </c:cat>
          <c:val>
            <c:numRef>
              <c:f>Sheet2!$C$6:$C$19</c:f>
              <c:numCache>
                <c:formatCode>"£"#,##0.0;\-"£"#,##0.0</c:formatCode>
                <c:ptCount val="14"/>
                <c:pt idx="0">
                  <c:v>23</c:v>
                </c:pt>
                <c:pt idx="1">
                  <c:v>19.100000000000001</c:v>
                </c:pt>
                <c:pt idx="2">
                  <c:v>18</c:v>
                </c:pt>
                <c:pt idx="3">
                  <c:v>15.2</c:v>
                </c:pt>
                <c:pt idx="4">
                  <c:v>13.2</c:v>
                </c:pt>
                <c:pt idx="5">
                  <c:v>13.2</c:v>
                </c:pt>
                <c:pt idx="6">
                  <c:v>12.2</c:v>
                </c:pt>
                <c:pt idx="7">
                  <c:v>9.1999999999999993</c:v>
                </c:pt>
                <c:pt idx="8">
                  <c:v>9.3000000000000007</c:v>
                </c:pt>
                <c:pt idx="9">
                  <c:v>13.2</c:v>
                </c:pt>
                <c:pt idx="10">
                  <c:v>14.8</c:v>
                </c:pt>
                <c:pt idx="11">
                  <c:v>13.4</c:v>
                </c:pt>
                <c:pt idx="12">
                  <c:v>10.9</c:v>
                </c:pt>
                <c:pt idx="13">
                  <c:v>11.3</c:v>
                </c:pt>
              </c:numCache>
            </c:numRef>
          </c:val>
          <c:smooth val="0"/>
          <c:extLst>
            <c:ext xmlns:c16="http://schemas.microsoft.com/office/drawing/2014/chart" uri="{C3380CC4-5D6E-409C-BE32-E72D297353CC}">
              <c16:uniqueId val="{00000000-B298-42BF-85A7-70E3D1231175}"/>
            </c:ext>
          </c:extLst>
        </c:ser>
        <c:dLbls>
          <c:showLegendKey val="0"/>
          <c:showVal val="0"/>
          <c:showCatName val="0"/>
          <c:showSerName val="0"/>
          <c:showPercent val="0"/>
          <c:showBubbleSize val="0"/>
        </c:dLbls>
        <c:smooth val="0"/>
        <c:axId val="108356032"/>
        <c:axId val="108360952"/>
      </c:lineChart>
      <c:catAx>
        <c:axId val="1083560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latin typeface="Arial" panose="020B0604020202020204" pitchFamily="34" charset="0"/>
                    <a:cs typeface="Arial" panose="020B0604020202020204" pitchFamily="34" charset="0"/>
                  </a:rPr>
                  <a:t>Financial</a:t>
                </a:r>
                <a:r>
                  <a:rPr lang="en-GB" b="1" baseline="0">
                    <a:latin typeface="Arial" panose="020B0604020202020204" pitchFamily="34" charset="0"/>
                    <a:cs typeface="Arial" panose="020B0604020202020204" pitchFamily="34" charset="0"/>
                  </a:rPr>
                  <a:t> Year</a:t>
                </a:r>
                <a:endParaRPr lang="en-GB" b="1">
                  <a:latin typeface="Arial" panose="020B0604020202020204" pitchFamily="34" charset="0"/>
                  <a:cs typeface="Arial" panose="020B0604020202020204" pitchFamily="34" charset="0"/>
                </a:endParaRPr>
              </a:p>
            </c:rich>
          </c:tx>
          <c:layout>
            <c:manualLayout>
              <c:xMode val="edge"/>
              <c:yMode val="edge"/>
              <c:x val="0.41677900670976437"/>
              <c:y val="0.9221847012186169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8360952"/>
        <c:crosses val="autoZero"/>
        <c:auto val="1"/>
        <c:lblAlgn val="ctr"/>
        <c:lblOffset val="100"/>
        <c:noMultiLvlLbl val="0"/>
      </c:catAx>
      <c:valAx>
        <c:axId val="108360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latin typeface="Arial" panose="020B0604020202020204" pitchFamily="34" charset="0"/>
                    <a:cs typeface="Arial" panose="020B0604020202020204" pitchFamily="34" charset="0"/>
                  </a:rPr>
                  <a:t>Balance (m)</a:t>
                </a:r>
              </a:p>
            </c:rich>
          </c:tx>
          <c:layout>
            <c:manualLayout>
              <c:xMode val="edge"/>
              <c:yMode val="edge"/>
              <c:x val="1.9455252918287938E-2"/>
              <c:y val="0.2926484138095277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0;\-&quot;£&quot;#,##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835603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9092982548165"/>
          <c:y val="4.2617500377814727E-2"/>
          <c:w val="0.81498092772450137"/>
          <c:h val="0.70721751061153637"/>
        </c:manualLayout>
      </c:layout>
      <c:lineChart>
        <c:grouping val="standard"/>
        <c:varyColors val="0"/>
        <c:ser>
          <c:idx val="0"/>
          <c:order val="0"/>
          <c:tx>
            <c:strRef>
              <c:f>ER!$C$5</c:f>
              <c:strCache>
                <c:ptCount val="1"/>
                <c:pt idx="0">
                  <c:v>Earmarked Reserve</c:v>
                </c:pt>
              </c:strCache>
            </c:strRef>
          </c:tx>
          <c:spPr>
            <a:ln w="28575" cap="rnd">
              <a:solidFill>
                <a:schemeClr val="accent5">
                  <a:lumMod val="75000"/>
                </a:schemeClr>
              </a:solidFill>
              <a:round/>
            </a:ln>
            <a:effectLst/>
          </c:spPr>
          <c:marker>
            <c:symbol val="none"/>
          </c:marker>
          <c:dPt>
            <c:idx val="7"/>
            <c:marker>
              <c:symbol val="none"/>
            </c:marker>
            <c:bubble3D val="0"/>
            <c:spPr>
              <a:ln w="28575" cap="rnd">
                <a:solidFill>
                  <a:srgbClr val="401BC9"/>
                </a:solidFill>
                <a:round/>
              </a:ln>
              <a:effectLst/>
            </c:spPr>
            <c:extLst>
              <c:ext xmlns:c16="http://schemas.microsoft.com/office/drawing/2014/chart" uri="{C3380CC4-5D6E-409C-BE32-E72D297353CC}">
                <c16:uniqueId val="{00000009-C4D9-4E69-BD93-A253E26C4F64}"/>
              </c:ext>
            </c:extLst>
          </c:dPt>
          <c:dLbls>
            <c:dLbl>
              <c:idx val="0"/>
              <c:layout>
                <c:manualLayout>
                  <c:x val="-4.9346066197683863E-2"/>
                  <c:y val="-2.7202659815626418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3EDCA7EB-4742-475A-93E2-1EAF4858A9E6}" type="VALUE">
                      <a:rPr lang="en-US" b="1"/>
                      <a:pPr>
                        <a:defRPr b="1"/>
                      </a:pPr>
                      <a:t>[VALUE]</a:t>
                    </a:fld>
                    <a:r>
                      <a:rPr lang="en-US" b="1"/>
                      <a:t>m</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895879595361452E-2"/>
                      <c:h val="3.3202476560612787E-2"/>
                    </c:manualLayout>
                  </c15:layout>
                  <c15:dlblFieldTable/>
                  <c15:showDataLabelsRange val="0"/>
                </c:ext>
                <c:ext xmlns:c16="http://schemas.microsoft.com/office/drawing/2014/chart" uri="{C3380CC4-5D6E-409C-BE32-E72D297353CC}">
                  <c16:uniqueId val="{00000002-C4D9-4E69-BD93-A253E26C4F64}"/>
                </c:ext>
              </c:extLst>
            </c:dLbl>
            <c:dLbl>
              <c:idx val="1"/>
              <c:layout>
                <c:manualLayout>
                  <c:x val="-5.181347150259067E-2"/>
                  <c:y val="2.7202659815626307E-2"/>
                </c:manualLayout>
              </c:layout>
              <c:tx>
                <c:rich>
                  <a:bodyPr/>
                  <a:lstStyle/>
                  <a:p>
                    <a:fld id="{F2F3563A-85F3-4393-BD6A-33E6121925DB}"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D9-4E69-BD93-A253E26C4F64}"/>
                </c:ext>
              </c:extLst>
            </c:dLbl>
            <c:dLbl>
              <c:idx val="2"/>
              <c:layout>
                <c:manualLayout>
                  <c:x val="-4.9346163335800643E-2"/>
                  <c:y val="-3.022517757291824E-2"/>
                </c:manualLayout>
              </c:layout>
              <c:tx>
                <c:rich>
                  <a:bodyPr/>
                  <a:lstStyle/>
                  <a:p>
                    <a:fld id="{40B51477-D6AE-417F-9FC1-94BD01715787}"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4D9-4E69-BD93-A253E26C4F64}"/>
                </c:ext>
              </c:extLst>
            </c:dLbl>
            <c:dLbl>
              <c:idx val="3"/>
              <c:layout>
                <c:manualLayout>
                  <c:x val="-2.5959932902356122E-2"/>
                  <c:y val="-2.266900217645088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BFE3275F-EF03-4F9E-904F-8C82C80D5BB5}" type="VALUE">
                      <a:rPr lang="en-US"/>
                      <a:pPr>
                        <a:defRPr b="1"/>
                      </a:pPr>
                      <a:t>[VALUE]</a:t>
                    </a:fld>
                    <a:r>
                      <a:rPr lang="en-US"/>
                      <a:t>m</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8805838107785173E-2"/>
                      <c:h val="6.9472689648114663E-2"/>
                    </c:manualLayout>
                  </c15:layout>
                  <c15:dlblFieldTable/>
                  <c15:showDataLabelsRange val="0"/>
                </c:ext>
                <c:ext xmlns:c16="http://schemas.microsoft.com/office/drawing/2014/chart" uri="{C3380CC4-5D6E-409C-BE32-E72D297353CC}">
                  <c16:uniqueId val="{00000005-C4D9-4E69-BD93-A253E26C4F64}"/>
                </c:ext>
              </c:extLst>
            </c:dLbl>
            <c:dLbl>
              <c:idx val="4"/>
              <c:layout>
                <c:manualLayout>
                  <c:x val="-6.9084628670120898E-2"/>
                  <c:y val="2.7202778812388514E-2"/>
                </c:manualLayout>
              </c:layout>
              <c:tx>
                <c:rich>
                  <a:bodyPr/>
                  <a:lstStyle/>
                  <a:p>
                    <a:fld id="{7627133E-194C-4ACC-A7C6-E3618B77732F}"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layout>
                    <c:manualLayout>
                      <c:w val="0.11696264650856467"/>
                      <c:h val="4.2270029832488253E-2"/>
                    </c:manualLayout>
                  </c15:layout>
                  <c15:dlblFieldTable/>
                  <c15:showDataLabelsRange val="0"/>
                </c:ext>
                <c:ext xmlns:c16="http://schemas.microsoft.com/office/drawing/2014/chart" uri="{C3380CC4-5D6E-409C-BE32-E72D297353CC}">
                  <c16:uniqueId val="{00000006-C4D9-4E69-BD93-A253E26C4F64}"/>
                </c:ext>
              </c:extLst>
            </c:dLbl>
            <c:dLbl>
              <c:idx val="5"/>
              <c:layout>
                <c:manualLayout>
                  <c:x val="-6.1682607031634001E-2"/>
                  <c:y val="-2.4180142058334648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DE0B0DF5-C1A7-4817-9DA3-9295D00C495E}" type="VALUE">
                      <a:rPr lang="en-US"/>
                      <a:pPr>
                        <a:defRPr b="1"/>
                      </a:pPr>
                      <a:t>[VALUE]</a:t>
                    </a:fld>
                    <a:r>
                      <a:rPr lang="en-US"/>
                      <a:t>m</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9691489341034417E-2"/>
                      <c:h val="5.7382618618947376E-2"/>
                    </c:manualLayout>
                  </c15:layout>
                  <c15:dlblFieldTable/>
                  <c15:showDataLabelsRange val="0"/>
                </c:ext>
                <c:ext xmlns:c16="http://schemas.microsoft.com/office/drawing/2014/chart" uri="{C3380CC4-5D6E-409C-BE32-E72D297353CC}">
                  <c16:uniqueId val="{00000007-C4D9-4E69-BD93-A253E26C4F64}"/>
                </c:ext>
              </c:extLst>
            </c:dLbl>
            <c:dLbl>
              <c:idx val="6"/>
              <c:layout>
                <c:manualLayout>
                  <c:x val="-3.4542314335060449E-2"/>
                  <c:y val="-2.4180142058334592E-2"/>
                </c:manualLayout>
              </c:layout>
              <c:tx>
                <c:rich>
                  <a:bodyPr/>
                  <a:lstStyle/>
                  <a:p>
                    <a:fld id="{C106C40D-5BB5-4DF1-8C89-89FC72C3CF78}"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4D9-4E69-BD93-A253E26C4F64}"/>
                </c:ext>
              </c:extLst>
            </c:dLbl>
            <c:dLbl>
              <c:idx val="7"/>
              <c:layout>
                <c:manualLayout>
                  <c:x val="-4.1944238835430546E-2"/>
                  <c:y val="2.7202659815626418E-2"/>
                </c:manualLayout>
              </c:layout>
              <c:tx>
                <c:rich>
                  <a:bodyPr/>
                  <a:lstStyle/>
                  <a:p>
                    <a:fld id="{3C7FEB22-9C32-452E-AB8D-5FC11F44BF0E}"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4D9-4E69-BD93-A253E26C4F64}"/>
                </c:ext>
              </c:extLst>
            </c:dLbl>
            <c:dLbl>
              <c:idx val="8"/>
              <c:layout>
                <c:manualLayout>
                  <c:x val="-7.1304076411654774E-2"/>
                  <c:y val="-2.7202659815626473E-2"/>
                </c:manualLayout>
              </c:layout>
              <c:tx>
                <c:rich>
                  <a:bodyPr/>
                  <a:lstStyle/>
                  <a:p>
                    <a:fld id="{D93401E2-0CBF-47BE-B05D-16D5A7E68AE1}"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C4D9-4E69-BD93-A253E26C4F64}"/>
                </c:ext>
              </c:extLst>
            </c:dLbl>
            <c:dLbl>
              <c:idx val="9"/>
              <c:layout>
                <c:manualLayout>
                  <c:x val="-9.7945696702075327E-2"/>
                  <c:y val="-2.8493680294365685E-2"/>
                </c:manualLayout>
              </c:layout>
              <c:tx>
                <c:rich>
                  <a:bodyPr/>
                  <a:lstStyle/>
                  <a:p>
                    <a:fld id="{43E63CBC-B9B9-4061-9122-A1629F38A2C2}"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4D9-4E69-BD93-A253E26C4F64}"/>
                </c:ext>
              </c:extLst>
            </c:dLbl>
            <c:dLbl>
              <c:idx val="10"/>
              <c:layout>
                <c:manualLayout>
                  <c:x val="-6.4150012336540829E-2"/>
                  <c:y val="-2.1157624301042781E-2"/>
                </c:manualLayout>
              </c:layout>
              <c:tx>
                <c:rich>
                  <a:bodyPr/>
                  <a:lstStyle/>
                  <a:p>
                    <a:fld id="{AFBBB2EC-22AE-4FD0-A3FA-1B80329D95C0}"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C4D9-4E69-BD93-A253E26C4F64}"/>
                </c:ext>
              </c:extLst>
            </c:dLbl>
            <c:dLbl>
              <c:idx val="11"/>
              <c:layout>
                <c:manualLayout>
                  <c:x val="-2.4883692113594844E-3"/>
                  <c:y val="4.3210738758651954E-3"/>
                </c:manualLayout>
              </c:layout>
              <c:tx>
                <c:rich>
                  <a:bodyPr/>
                  <a:lstStyle/>
                  <a:p>
                    <a:fld id="{EA7E879C-E9D7-45E4-8E90-ED3C0D25E5F6}"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4D9-4E69-BD93-A253E26C4F64}"/>
                </c:ext>
              </c:extLst>
            </c:dLbl>
            <c:dLbl>
              <c:idx val="12"/>
              <c:layout>
                <c:manualLayout>
                  <c:x val="-8.4779719058722808E-2"/>
                  <c:y val="1.3821482207252904E-2"/>
                </c:manualLayout>
              </c:layout>
              <c:tx>
                <c:rich>
                  <a:bodyPr/>
                  <a:lstStyle/>
                  <a:p>
                    <a:fld id="{92381417-3BB0-4C89-BFF0-22B0B7A2262E}"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C4D9-4E69-BD93-A253E26C4F64}"/>
                </c:ext>
              </c:extLst>
            </c:dLbl>
            <c:dLbl>
              <c:idx val="13"/>
              <c:layout>
                <c:manualLayout>
                  <c:x val="-1.6690510252742013E-2"/>
                  <c:y val="-2.3307005049851094E-2"/>
                </c:manualLayout>
              </c:layout>
              <c:tx>
                <c:rich>
                  <a:bodyPr/>
                  <a:lstStyle/>
                  <a:p>
                    <a:fld id="{6B60F1C2-AAA3-45D4-A5C9-011772961084}"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FD5-4A84-95EC-846899E540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ER!$B$6:$B$19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 forecast</c:v>
                </c:pt>
                <c:pt idx="13">
                  <c:v>2024/25 budget</c:v>
                </c:pt>
              </c:strCache>
            </c:strRef>
          </c:cat>
          <c:val>
            <c:numRef>
              <c:f>ER!$C$6:$C$19</c:f>
              <c:numCache>
                <c:formatCode>"£"#,##0.0;\-"£"#,##0.0</c:formatCode>
                <c:ptCount val="14"/>
                <c:pt idx="0">
                  <c:v>3.1</c:v>
                </c:pt>
                <c:pt idx="1">
                  <c:v>2.6</c:v>
                </c:pt>
                <c:pt idx="2">
                  <c:v>7.4</c:v>
                </c:pt>
                <c:pt idx="3">
                  <c:v>5.2</c:v>
                </c:pt>
                <c:pt idx="4">
                  <c:v>3.5</c:v>
                </c:pt>
                <c:pt idx="5">
                  <c:v>9</c:v>
                </c:pt>
                <c:pt idx="6">
                  <c:v>7.8</c:v>
                </c:pt>
                <c:pt idx="7">
                  <c:v>6.3</c:v>
                </c:pt>
                <c:pt idx="8">
                  <c:v>9.4600000000000009</c:v>
                </c:pt>
                <c:pt idx="9">
                  <c:v>12.298999999999999</c:v>
                </c:pt>
                <c:pt idx="10">
                  <c:v>17.106000000000002</c:v>
                </c:pt>
                <c:pt idx="11">
                  <c:v>15.5</c:v>
                </c:pt>
                <c:pt idx="12">
                  <c:v>11.1</c:v>
                </c:pt>
                <c:pt idx="13">
                  <c:v>6.8029999999999999</c:v>
                </c:pt>
              </c:numCache>
            </c:numRef>
          </c:val>
          <c:smooth val="0"/>
          <c:extLst>
            <c:ext xmlns:c16="http://schemas.microsoft.com/office/drawing/2014/chart" uri="{C3380CC4-5D6E-409C-BE32-E72D297353CC}">
              <c16:uniqueId val="{00000000-F8E9-400D-BAA1-F9653A06CC13}"/>
            </c:ext>
          </c:extLst>
        </c:ser>
        <c:dLbls>
          <c:showLegendKey val="0"/>
          <c:showVal val="0"/>
          <c:showCatName val="0"/>
          <c:showSerName val="0"/>
          <c:showPercent val="0"/>
          <c:showBubbleSize val="0"/>
        </c:dLbls>
        <c:smooth val="0"/>
        <c:axId val="95856968"/>
        <c:axId val="95857624"/>
      </c:lineChart>
      <c:catAx>
        <c:axId val="958569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latin typeface="Arial" panose="020B0604020202020204" pitchFamily="34" charset="0"/>
                    <a:cs typeface="Arial" panose="020B0604020202020204" pitchFamily="34" charset="0"/>
                  </a:rPr>
                  <a:t>Financial</a:t>
                </a:r>
                <a:r>
                  <a:rPr lang="en-GB" b="1" baseline="0">
                    <a:latin typeface="Arial" panose="020B0604020202020204" pitchFamily="34" charset="0"/>
                    <a:cs typeface="Arial" panose="020B0604020202020204" pitchFamily="34" charset="0"/>
                  </a:rPr>
                  <a:t> Year</a:t>
                </a:r>
                <a:endParaRPr lang="en-GB" b="1">
                  <a:latin typeface="Arial" panose="020B0604020202020204" pitchFamily="34" charset="0"/>
                  <a:cs typeface="Arial" panose="020B0604020202020204" pitchFamily="34" charset="0"/>
                </a:endParaRPr>
              </a:p>
            </c:rich>
          </c:tx>
          <c:layout>
            <c:manualLayout>
              <c:xMode val="edge"/>
              <c:yMode val="edge"/>
              <c:x val="0.39507665168796907"/>
              <c:y val="0.9259483149463504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5857624"/>
        <c:crosses val="autoZero"/>
        <c:auto val="1"/>
        <c:lblAlgn val="ctr"/>
        <c:lblOffset val="100"/>
        <c:noMultiLvlLbl val="0"/>
      </c:catAx>
      <c:valAx>
        <c:axId val="95857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latin typeface="Arial" panose="020B0604020202020204" pitchFamily="34" charset="0"/>
                    <a:cs typeface="Arial" panose="020B0604020202020204" pitchFamily="34" charset="0"/>
                  </a:rPr>
                  <a:t>Balance</a:t>
                </a:r>
                <a:r>
                  <a:rPr lang="en-GB" b="1" baseline="0">
                    <a:latin typeface="Arial" panose="020B0604020202020204" pitchFamily="34" charset="0"/>
                    <a:cs typeface="Arial" panose="020B0604020202020204" pitchFamily="34" charset="0"/>
                  </a:rPr>
                  <a:t> (m)</a:t>
                </a:r>
                <a:endParaRPr lang="en-GB" b="1">
                  <a:latin typeface="Arial" panose="020B0604020202020204" pitchFamily="34" charset="0"/>
                  <a:cs typeface="Arial" panose="020B0604020202020204" pitchFamily="34" charset="0"/>
                </a:endParaRPr>
              </a:p>
            </c:rich>
          </c:tx>
          <c:layout>
            <c:manualLayout>
              <c:xMode val="edge"/>
              <c:yMode val="edge"/>
              <c:x val="1.4470665260106739E-2"/>
              <c:y val="0.3520369270752142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0;\-&quot;£&quot;#,##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5856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3618415423263"/>
          <c:y val="5.9325319400705782E-2"/>
          <c:w val="0.84190018387281407"/>
          <c:h val="0.61900858695904371"/>
        </c:manualLayout>
      </c:layout>
      <c:barChart>
        <c:barDir val="col"/>
        <c:grouping val="clustered"/>
        <c:varyColors val="0"/>
        <c:ser>
          <c:idx val="0"/>
          <c:order val="0"/>
          <c:tx>
            <c:strRef>
              <c:f>Summary!$C$5</c:f>
              <c:strCache>
                <c:ptCount val="1"/>
                <c:pt idx="0">
                  <c:v>General Reserve</c:v>
                </c:pt>
              </c:strCache>
            </c:strRef>
          </c:tx>
          <c:spPr>
            <a:solidFill>
              <a:srgbClr val="FF0000"/>
            </a:solidFill>
            <a:ln>
              <a:noFill/>
            </a:ln>
            <a:effectLst/>
          </c:spPr>
          <c:invertIfNegative val="0"/>
          <c:cat>
            <c:strRef>
              <c:f>Summary!$B$6:$B$19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 forecast</c:v>
                </c:pt>
                <c:pt idx="13">
                  <c:v>2024/25 budget</c:v>
                </c:pt>
              </c:strCache>
            </c:strRef>
          </c:cat>
          <c:val>
            <c:numRef>
              <c:f>Summary!$C$6:$C$19</c:f>
              <c:numCache>
                <c:formatCode>"£"#,##0.0;\-"£"#,##0.0</c:formatCode>
                <c:ptCount val="14"/>
                <c:pt idx="0">
                  <c:v>23</c:v>
                </c:pt>
                <c:pt idx="1">
                  <c:v>19.100000000000001</c:v>
                </c:pt>
                <c:pt idx="2">
                  <c:v>18</c:v>
                </c:pt>
                <c:pt idx="3">
                  <c:v>15.2</c:v>
                </c:pt>
                <c:pt idx="4">
                  <c:v>13.2</c:v>
                </c:pt>
                <c:pt idx="5">
                  <c:v>13.2</c:v>
                </c:pt>
                <c:pt idx="6">
                  <c:v>12.2</c:v>
                </c:pt>
                <c:pt idx="7">
                  <c:v>9.1999999999999993</c:v>
                </c:pt>
                <c:pt idx="8">
                  <c:v>9.2750000000000004</c:v>
                </c:pt>
                <c:pt idx="9">
                  <c:v>13.2</c:v>
                </c:pt>
                <c:pt idx="10">
                  <c:v>14.8</c:v>
                </c:pt>
                <c:pt idx="11">
                  <c:v>13.4</c:v>
                </c:pt>
                <c:pt idx="12">
                  <c:v>10.9</c:v>
                </c:pt>
                <c:pt idx="13">
                  <c:v>11.3</c:v>
                </c:pt>
              </c:numCache>
            </c:numRef>
          </c:val>
          <c:extLst>
            <c:ext xmlns:c16="http://schemas.microsoft.com/office/drawing/2014/chart" uri="{C3380CC4-5D6E-409C-BE32-E72D297353CC}">
              <c16:uniqueId val="{00000000-986A-41A3-B2BE-10F06EFF2113}"/>
            </c:ext>
          </c:extLst>
        </c:ser>
        <c:ser>
          <c:idx val="1"/>
          <c:order val="1"/>
          <c:tx>
            <c:strRef>
              <c:f>Summary!$D$5</c:f>
              <c:strCache>
                <c:ptCount val="1"/>
                <c:pt idx="0">
                  <c:v>Earmarked Reserve</c:v>
                </c:pt>
              </c:strCache>
            </c:strRef>
          </c:tx>
          <c:spPr>
            <a:solidFill>
              <a:srgbClr val="401BC9"/>
            </a:solidFill>
            <a:ln>
              <a:noFill/>
            </a:ln>
            <a:effectLst/>
          </c:spPr>
          <c:invertIfNegative val="0"/>
          <c:cat>
            <c:strRef>
              <c:f>Summary!$B$6:$B$19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 forecast</c:v>
                </c:pt>
                <c:pt idx="13">
                  <c:v>2024/25 budget</c:v>
                </c:pt>
              </c:strCache>
            </c:strRef>
          </c:cat>
          <c:val>
            <c:numRef>
              <c:f>Summary!$D$6:$D$19</c:f>
              <c:numCache>
                <c:formatCode>"£"#,##0.0;\-"£"#,##0.0</c:formatCode>
                <c:ptCount val="14"/>
                <c:pt idx="0">
                  <c:v>3.1</c:v>
                </c:pt>
                <c:pt idx="1">
                  <c:v>2.6</c:v>
                </c:pt>
                <c:pt idx="2">
                  <c:v>7.4</c:v>
                </c:pt>
                <c:pt idx="3">
                  <c:v>5.5</c:v>
                </c:pt>
                <c:pt idx="4">
                  <c:v>3.5</c:v>
                </c:pt>
                <c:pt idx="5">
                  <c:v>9.1</c:v>
                </c:pt>
                <c:pt idx="6">
                  <c:v>7.8</c:v>
                </c:pt>
                <c:pt idx="7">
                  <c:v>7.6</c:v>
                </c:pt>
                <c:pt idx="8">
                  <c:v>9.5</c:v>
                </c:pt>
                <c:pt idx="9">
                  <c:v>12.3</c:v>
                </c:pt>
                <c:pt idx="10">
                  <c:v>17.100000000000001</c:v>
                </c:pt>
                <c:pt idx="11">
                  <c:v>15.5</c:v>
                </c:pt>
                <c:pt idx="12">
                  <c:v>11.1</c:v>
                </c:pt>
                <c:pt idx="13">
                  <c:v>6.8</c:v>
                </c:pt>
              </c:numCache>
            </c:numRef>
          </c:val>
          <c:extLst>
            <c:ext xmlns:c16="http://schemas.microsoft.com/office/drawing/2014/chart" uri="{C3380CC4-5D6E-409C-BE32-E72D297353CC}">
              <c16:uniqueId val="{00000001-986A-41A3-B2BE-10F06EFF2113}"/>
            </c:ext>
          </c:extLst>
        </c:ser>
        <c:ser>
          <c:idx val="2"/>
          <c:order val="2"/>
          <c:tx>
            <c:strRef>
              <c:f>Summary!$E$5</c:f>
              <c:strCache>
                <c:ptCount val="1"/>
                <c:pt idx="0">
                  <c:v>Capital Receipt Reserve</c:v>
                </c:pt>
              </c:strCache>
            </c:strRef>
          </c:tx>
          <c:spPr>
            <a:solidFill>
              <a:srgbClr val="FFFF00"/>
            </a:solidFill>
            <a:ln>
              <a:noFill/>
            </a:ln>
            <a:effectLst/>
          </c:spPr>
          <c:invertIfNegative val="0"/>
          <c:cat>
            <c:strRef>
              <c:f>Summary!$B$6:$B$19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 forecast</c:v>
                </c:pt>
                <c:pt idx="13">
                  <c:v>2024/25 budget</c:v>
                </c:pt>
              </c:strCache>
            </c:strRef>
          </c:cat>
          <c:val>
            <c:numRef>
              <c:f>Summary!$E$6:$E$19</c:f>
              <c:numCache>
                <c:formatCode>"£"#,##0.0;\-"£"#,##0.0</c:formatCode>
                <c:ptCount val="14"/>
                <c:pt idx="0">
                  <c:v>7.8</c:v>
                </c:pt>
                <c:pt idx="1">
                  <c:v>7.4</c:v>
                </c:pt>
                <c:pt idx="2">
                  <c:v>7.7</c:v>
                </c:pt>
                <c:pt idx="3">
                  <c:v>8.5</c:v>
                </c:pt>
                <c:pt idx="4">
                  <c:v>2.4</c:v>
                </c:pt>
                <c:pt idx="5">
                  <c:v>0</c:v>
                </c:pt>
                <c:pt idx="6">
                  <c:v>1.9</c:v>
                </c:pt>
                <c:pt idx="7">
                  <c:v>6.1</c:v>
                </c:pt>
                <c:pt idx="8">
                  <c:v>1.0880000000000001</c:v>
                </c:pt>
                <c:pt idx="9">
                  <c:v>0</c:v>
                </c:pt>
                <c:pt idx="10">
                  <c:v>0.9</c:v>
                </c:pt>
                <c:pt idx="11">
                  <c:v>0</c:v>
                </c:pt>
                <c:pt idx="12">
                  <c:v>0</c:v>
                </c:pt>
                <c:pt idx="13">
                  <c:v>0</c:v>
                </c:pt>
              </c:numCache>
            </c:numRef>
          </c:val>
          <c:extLst>
            <c:ext xmlns:c16="http://schemas.microsoft.com/office/drawing/2014/chart" uri="{C3380CC4-5D6E-409C-BE32-E72D297353CC}">
              <c16:uniqueId val="{00000002-986A-41A3-B2BE-10F06EFF2113}"/>
            </c:ext>
          </c:extLst>
        </c:ser>
        <c:ser>
          <c:idx val="4"/>
          <c:order val="3"/>
          <c:tx>
            <c:strRef>
              <c:f>Summary!$F$5</c:f>
              <c:strCache>
                <c:ptCount val="1"/>
                <c:pt idx="0">
                  <c:v>Unapplied Capital Grant</c:v>
                </c:pt>
              </c:strCache>
            </c:strRef>
          </c:tx>
          <c:spPr>
            <a:solidFill>
              <a:srgbClr val="92D050"/>
            </a:solidFill>
            <a:ln>
              <a:noFill/>
            </a:ln>
            <a:effectLst/>
          </c:spPr>
          <c:invertIfNegative val="0"/>
          <c:cat>
            <c:strRef>
              <c:f>Summary!$B$6:$B$19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 forecast</c:v>
                </c:pt>
                <c:pt idx="13">
                  <c:v>2024/25 budget</c:v>
                </c:pt>
              </c:strCache>
            </c:strRef>
          </c:cat>
          <c:val>
            <c:numRef>
              <c:f>Summary!$F$6:$F$19</c:f>
              <c:numCache>
                <c:formatCode>"£"#,##0.0;\-"£"#,##0.0</c:formatCode>
                <c:ptCount val="14"/>
                <c:pt idx="0">
                  <c:v>8.6999999999999993</c:v>
                </c:pt>
                <c:pt idx="1">
                  <c:v>7.1</c:v>
                </c:pt>
                <c:pt idx="2">
                  <c:v>4.4000000000000004</c:v>
                </c:pt>
                <c:pt idx="3">
                  <c:v>1.8</c:v>
                </c:pt>
                <c:pt idx="4">
                  <c:v>1.6</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4-986A-41A3-B2BE-10F06EFF2113}"/>
            </c:ext>
          </c:extLst>
        </c:ser>
        <c:dLbls>
          <c:showLegendKey val="0"/>
          <c:showVal val="0"/>
          <c:showCatName val="0"/>
          <c:showSerName val="0"/>
          <c:showPercent val="0"/>
          <c:showBubbleSize val="0"/>
        </c:dLbls>
        <c:gapWidth val="219"/>
        <c:overlap val="-27"/>
        <c:axId val="524237112"/>
        <c:axId val="523207536"/>
      </c:barChart>
      <c:lineChart>
        <c:grouping val="standard"/>
        <c:varyColors val="0"/>
        <c:ser>
          <c:idx val="5"/>
          <c:order val="4"/>
          <c:tx>
            <c:strRef>
              <c:f>Summary!$G$5</c:f>
              <c:strCache>
                <c:ptCount val="1"/>
                <c:pt idx="0">
                  <c:v>Total</c:v>
                </c:pt>
              </c:strCache>
            </c:strRef>
          </c:tx>
          <c:spPr>
            <a:ln w="28575" cap="rnd">
              <a:solidFill>
                <a:srgbClr val="00B0F0"/>
              </a:solidFill>
              <a:round/>
            </a:ln>
            <a:effectLst/>
          </c:spPr>
          <c:marker>
            <c:symbol val="circle"/>
            <c:size val="5"/>
            <c:spPr>
              <a:solidFill>
                <a:srgbClr val="B27AC8"/>
              </a:solidFill>
              <a:ln w="9525">
                <a:solidFill>
                  <a:schemeClr val="accent6"/>
                </a:solidFill>
              </a:ln>
              <a:effectLst/>
            </c:spPr>
          </c:marker>
          <c:dLbls>
            <c:dLbl>
              <c:idx val="0"/>
              <c:layout>
                <c:manualLayout>
                  <c:x val="-4.5882637044192223E-2"/>
                  <c:y val="-2.1430484864720063E-2"/>
                </c:manualLayout>
              </c:layout>
              <c:tx>
                <c:rich>
                  <a:bodyPr/>
                  <a:lstStyle/>
                  <a:p>
                    <a:fld id="{63F27736-C953-4775-8AF7-56645A27C26D}"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86A-41A3-B2BE-10F06EFF2113}"/>
                </c:ext>
              </c:extLst>
            </c:dLbl>
            <c:dLbl>
              <c:idx val="1"/>
              <c:layout>
                <c:manualLayout>
                  <c:x val="-4.8297512678097079E-2"/>
                  <c:y val="2.1430484864720063E-2"/>
                </c:manualLayout>
              </c:layout>
              <c:tx>
                <c:rich>
                  <a:bodyPr/>
                  <a:lstStyle/>
                  <a:p>
                    <a:fld id="{1371CF52-98AB-4ABC-9776-EC3AD0D89636}"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86A-41A3-B2BE-10F06EFF2113}"/>
                </c:ext>
              </c:extLst>
            </c:dLbl>
            <c:dLbl>
              <c:idx val="2"/>
              <c:layout>
                <c:manualLayout>
                  <c:x val="-5.3127263945906784E-2"/>
                  <c:y val="-1.8751674256630057E-2"/>
                </c:manualLayout>
              </c:layout>
              <c:tx>
                <c:rich>
                  <a:bodyPr/>
                  <a:lstStyle/>
                  <a:p>
                    <a:fld id="{B496B8D4-3034-4ED9-8F03-66EB86C11275}"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86A-41A3-B2BE-10F06EFF2113}"/>
                </c:ext>
              </c:extLst>
            </c:dLbl>
            <c:dLbl>
              <c:idx val="3"/>
              <c:layout>
                <c:manualLayout>
                  <c:x val="-2.1733880705143684E-2"/>
                  <c:y val="-8.0364318242700239E-3"/>
                </c:manualLayout>
              </c:layout>
              <c:tx>
                <c:rich>
                  <a:bodyPr/>
                  <a:lstStyle/>
                  <a:p>
                    <a:fld id="{AEA85A09-A226-4D73-8B19-B20770C5F359}"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86A-41A3-B2BE-10F06EFF2113}"/>
                </c:ext>
              </c:extLst>
            </c:dLbl>
            <c:dLbl>
              <c:idx val="4"/>
              <c:layout>
                <c:manualLayout>
                  <c:x val="-4.1052885776382518E-2"/>
                  <c:y val="1.8751674256630057E-2"/>
                </c:manualLayout>
              </c:layout>
              <c:tx>
                <c:rich>
                  <a:bodyPr/>
                  <a:lstStyle/>
                  <a:p>
                    <a:fld id="{F92F5422-A170-4211-91E1-CBE09884198A}"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86A-41A3-B2BE-10F06EFF2113}"/>
                </c:ext>
              </c:extLst>
            </c:dLbl>
            <c:dLbl>
              <c:idx val="5"/>
              <c:layout>
                <c:manualLayout>
                  <c:x val="-3.8638010142477662E-2"/>
                  <c:y val="-1.8751674256630057E-2"/>
                </c:manualLayout>
              </c:layout>
              <c:tx>
                <c:rich>
                  <a:bodyPr/>
                  <a:lstStyle/>
                  <a:p>
                    <a:fld id="{499B1E85-FA2D-40A1-BAF1-D6DE1B746C59}"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986A-41A3-B2BE-10F06EFF2113}"/>
                </c:ext>
              </c:extLst>
            </c:dLbl>
            <c:dLbl>
              <c:idx val="6"/>
              <c:layout>
                <c:manualLayout>
                  <c:x val="-4.5882637044192223E-2"/>
                  <c:y val="2.410929547281012E-2"/>
                </c:manualLayout>
              </c:layout>
              <c:tx>
                <c:rich>
                  <a:bodyPr/>
                  <a:lstStyle/>
                  <a:p>
                    <a:fld id="{04A5C8AB-3C1E-4EE7-A5BF-63BB86D842B4}"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86A-41A3-B2BE-10F06EFF2113}"/>
                </c:ext>
              </c:extLst>
            </c:dLbl>
            <c:dLbl>
              <c:idx val="7"/>
              <c:layout>
                <c:manualLayout>
                  <c:x val="-4.8297512678097079E-2"/>
                  <c:y val="-1.6072863648540048E-2"/>
                </c:manualLayout>
              </c:layout>
              <c:tx>
                <c:rich>
                  <a:bodyPr/>
                  <a:lstStyle/>
                  <a:p>
                    <a:fld id="{F1A5A835-997D-4ABE-A868-4176DD69B2CF}"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986A-41A3-B2BE-10F06EFF2113}"/>
                </c:ext>
              </c:extLst>
            </c:dLbl>
            <c:dLbl>
              <c:idx val="8"/>
              <c:layout>
                <c:manualLayout>
                  <c:x val="-4.8297512678097079E-2"/>
                  <c:y val="1.875167425662996E-2"/>
                </c:manualLayout>
              </c:layout>
              <c:tx>
                <c:rich>
                  <a:bodyPr/>
                  <a:lstStyle/>
                  <a:p>
                    <a:fld id="{BF4CD2C8-EB9B-4FBF-BF40-9FD383E3F434}"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86A-41A3-B2BE-10F06EFF2113}"/>
                </c:ext>
              </c:extLst>
            </c:dLbl>
            <c:dLbl>
              <c:idx val="9"/>
              <c:layout>
                <c:manualLayout>
                  <c:x val="-8.2105771552765036E-2"/>
                  <c:y val="-1.8751674256630057E-2"/>
                </c:manualLayout>
              </c:layout>
              <c:tx>
                <c:rich>
                  <a:bodyPr/>
                  <a:lstStyle/>
                  <a:p>
                    <a:fld id="{33F889B5-DAE6-4FA2-A72A-2F395940CABC}"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986A-41A3-B2BE-10F06EFF2113}"/>
                </c:ext>
              </c:extLst>
            </c:dLbl>
            <c:dLbl>
              <c:idx val="10"/>
              <c:layout>
                <c:manualLayout>
                  <c:x val="-5.3127263945906784E-2"/>
                  <c:y val="-1.339405304045004E-2"/>
                </c:manualLayout>
              </c:layout>
              <c:tx>
                <c:rich>
                  <a:bodyPr/>
                  <a:lstStyle/>
                  <a:p>
                    <a:fld id="{A04DCFE5-E815-46A9-BBB4-046B1CDDAFA5}"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86A-41A3-B2BE-10F06EFF2113}"/>
                </c:ext>
              </c:extLst>
            </c:dLbl>
            <c:dLbl>
              <c:idx val="11"/>
              <c:layout>
                <c:manualLayout>
                  <c:x val="-8.6935522820574734E-2"/>
                  <c:y val="5.3576212161800156E-3"/>
                </c:manualLayout>
              </c:layout>
              <c:tx>
                <c:rich>
                  <a:bodyPr/>
                  <a:lstStyle/>
                  <a:p>
                    <a:fld id="{BFCBFC28-FB74-43A4-B939-ABA9CD2BA644}"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986A-41A3-B2BE-10F06EFF2113}"/>
                </c:ext>
              </c:extLst>
            </c:dLbl>
            <c:dLbl>
              <c:idx val="12"/>
              <c:layout>
                <c:manualLayout>
                  <c:x val="-3.1393383240763101E-2"/>
                  <c:y val="1.339405304045004E-2"/>
                </c:manualLayout>
              </c:layout>
              <c:tx>
                <c:rich>
                  <a:bodyPr/>
                  <a:lstStyle/>
                  <a:p>
                    <a:fld id="{988BFBB1-E55B-4AE5-8E33-FE50132765B9}" type="VALUE">
                      <a:rPr lang="en-US"/>
                      <a:pPr/>
                      <a:t>[VALUE]</a:t>
                    </a:fld>
                    <a:r>
                      <a:rPr lang="en-US"/>
                      <a:t>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86A-41A3-B2BE-10F06EFF211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Summary!$B$6:$B$19</c:f>
              <c:strCache>
                <c:ptCount val="14"/>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 forecast</c:v>
                </c:pt>
                <c:pt idx="13">
                  <c:v>2024/25 budget</c:v>
                </c:pt>
              </c:strCache>
            </c:strRef>
          </c:cat>
          <c:val>
            <c:numRef>
              <c:f>Summary!$G$6:$G$19</c:f>
              <c:numCache>
                <c:formatCode>"£"#,##0.0;\-"£"#,##0.0</c:formatCode>
                <c:ptCount val="14"/>
                <c:pt idx="0">
                  <c:v>42.599999999999994</c:v>
                </c:pt>
                <c:pt idx="1">
                  <c:v>36.200000000000003</c:v>
                </c:pt>
                <c:pt idx="2">
                  <c:v>37.5</c:v>
                </c:pt>
                <c:pt idx="3">
                  <c:v>31</c:v>
                </c:pt>
                <c:pt idx="4">
                  <c:v>20.7</c:v>
                </c:pt>
                <c:pt idx="5">
                  <c:v>22.299999999999997</c:v>
                </c:pt>
                <c:pt idx="6">
                  <c:v>21.9</c:v>
                </c:pt>
                <c:pt idx="7">
                  <c:v>22.9</c:v>
                </c:pt>
                <c:pt idx="8">
                  <c:v>19.863</c:v>
                </c:pt>
                <c:pt idx="9">
                  <c:v>25.5</c:v>
                </c:pt>
                <c:pt idx="10">
                  <c:v>32.800000000000004</c:v>
                </c:pt>
                <c:pt idx="11">
                  <c:v>28.9</c:v>
                </c:pt>
                <c:pt idx="12">
                  <c:v>22</c:v>
                </c:pt>
                <c:pt idx="13">
                  <c:v>18.100000000000001</c:v>
                </c:pt>
              </c:numCache>
            </c:numRef>
          </c:val>
          <c:smooth val="0"/>
          <c:extLst>
            <c:ext xmlns:c16="http://schemas.microsoft.com/office/drawing/2014/chart" uri="{C3380CC4-5D6E-409C-BE32-E72D297353CC}">
              <c16:uniqueId val="{00000012-986A-41A3-B2BE-10F06EFF2113}"/>
            </c:ext>
          </c:extLst>
        </c:ser>
        <c:dLbls>
          <c:showLegendKey val="0"/>
          <c:showVal val="0"/>
          <c:showCatName val="0"/>
          <c:showSerName val="0"/>
          <c:showPercent val="0"/>
          <c:showBubbleSize val="0"/>
        </c:dLbls>
        <c:marker val="1"/>
        <c:smooth val="0"/>
        <c:axId val="524237112"/>
        <c:axId val="523207536"/>
      </c:lineChart>
      <c:catAx>
        <c:axId val="5242371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Financial 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3207536"/>
        <c:crosses val="autoZero"/>
        <c:auto val="1"/>
        <c:lblAlgn val="ctr"/>
        <c:lblOffset val="100"/>
        <c:noMultiLvlLbl val="0"/>
      </c:catAx>
      <c:valAx>
        <c:axId val="523207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a:t>Balance (m)</a:t>
                </a:r>
              </a:p>
            </c:rich>
          </c:tx>
          <c:layout>
            <c:manualLayout>
              <c:xMode val="edge"/>
              <c:yMode val="edge"/>
              <c:x val="1.8592640904190271E-3"/>
              <c:y val="0.3010566433620576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0;\-&quot;£&quot;#,##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423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2DC6-578D-4474-BB31-1FAC9EA6AE0A}"/>
</file>

<file path=customXml/itemProps2.xml><?xml version="1.0" encoding="utf-8"?>
<ds:datastoreItem xmlns:ds="http://schemas.openxmlformats.org/officeDocument/2006/customXml" ds:itemID="{A273A30B-D440-4768-99D6-06E9B32B07E3}">
  <ds:schemaRefs>
    <ds:schemaRef ds:uri="http://schemas.microsoft.com/sharepoint/v3/contenttype/forms"/>
  </ds:schemaRefs>
</ds:datastoreItem>
</file>

<file path=customXml/itemProps3.xml><?xml version="1.0" encoding="utf-8"?>
<ds:datastoreItem xmlns:ds="http://schemas.openxmlformats.org/officeDocument/2006/customXml" ds:itemID="{6074FB06-E01A-44B6-A569-4574C4DA079F}">
  <ds:schemaRefs>
    <ds:schemaRef ds:uri="http://schemas.microsoft.com/office/2006/metadata/properties"/>
    <ds:schemaRef ds:uri="http://schemas.microsoft.com/office/infopath/2007/PartnerControls"/>
    <ds:schemaRef ds:uri="76200ea6-7f0e-4a22-8b18-aa43c9dd9519"/>
    <ds:schemaRef ds:uri="32f80839-bec2-4bdc-8ce3-9f444fdbc426"/>
  </ds:schemaRefs>
</ds:datastoreItem>
</file>

<file path=customXml/itemProps4.xml><?xml version="1.0" encoding="utf-8"?>
<ds:datastoreItem xmlns:ds="http://schemas.openxmlformats.org/officeDocument/2006/customXml" ds:itemID="{13BFD431-15D7-4C26-9657-44EEDD85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2655</Words>
  <Characters>15134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Gough 42076229</dc:creator>
  <cp:keywords/>
  <dc:description/>
  <cp:lastModifiedBy>Janet Perry 42080681</cp:lastModifiedBy>
  <cp:revision>2</cp:revision>
  <cp:lastPrinted>2024-02-19T15:41:00Z</cp:lastPrinted>
  <dcterms:created xsi:type="dcterms:W3CDTF">2024-02-26T18:47:00Z</dcterms:created>
  <dcterms:modified xsi:type="dcterms:W3CDTF">2024-02-26T18:47:00Z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2023-02-14T17:07:36Z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a125345c-2e02-4120-94da-40b2d0275c94</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MediaServiceImageTags">
    <vt:lpwstr/>
  </property>
  <property fmtid="{D5CDD505-2E9C-101B-9397-08002B2CF9AE}" pid="11" name="Order">
    <vt:r8>19200</vt:r8>
  </property>
</Properties>
</file>