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924C" w14:textId="11201810" w:rsidR="00E72A64" w:rsidRPr="00B0181F" w:rsidRDefault="00E72A64" w:rsidP="00E72A64">
      <w:pPr>
        <w:outlineLvl w:val="0"/>
        <w:rPr>
          <w:rFonts w:ascii="Arial" w:hAnsi="Arial" w:cs="Arial"/>
          <w:b/>
          <w:sz w:val="24"/>
          <w:szCs w:val="24"/>
        </w:rPr>
      </w:pPr>
      <w:r>
        <w:rPr>
          <w:rFonts w:ascii="Arial" w:hAnsi="Arial" w:cs="Arial"/>
          <w:b/>
          <w:sz w:val="24"/>
          <w:szCs w:val="24"/>
        </w:rPr>
        <w:t xml:space="preserve">  </w:t>
      </w:r>
      <w:r w:rsidRPr="00B0181F">
        <w:rPr>
          <w:rFonts w:ascii="Arial" w:hAnsi="Arial" w:cs="Arial"/>
          <w:b/>
          <w:sz w:val="24"/>
          <w:szCs w:val="24"/>
        </w:rPr>
        <w:t xml:space="preserve">FULL EQUALITY </w:t>
      </w:r>
      <w:r>
        <w:rPr>
          <w:rFonts w:ascii="Arial" w:hAnsi="Arial" w:cs="Arial"/>
          <w:b/>
          <w:sz w:val="24"/>
          <w:szCs w:val="24"/>
        </w:rPr>
        <w:t>IMPACT ASSESSMENT</w:t>
      </w:r>
      <w:r w:rsidRPr="00B0181F">
        <w:rPr>
          <w:rFonts w:ascii="Arial" w:hAnsi="Arial" w:cs="Arial"/>
          <w:b/>
          <w:sz w:val="24"/>
          <w:szCs w:val="24"/>
        </w:rPr>
        <w:t xml:space="preserve"> FORM            </w:t>
      </w:r>
      <w:r w:rsidRPr="00B0181F">
        <w:rPr>
          <w:rFonts w:ascii="Arial" w:hAnsi="Arial" w:cs="Arial"/>
          <w:b/>
          <w:sz w:val="24"/>
          <w:szCs w:val="24"/>
        </w:rPr>
        <w:tab/>
      </w:r>
      <w:r w:rsidRPr="00B0181F">
        <w:rPr>
          <w:rFonts w:ascii="Arial" w:hAnsi="Arial" w:cs="Arial"/>
          <w:b/>
          <w:sz w:val="24"/>
          <w:szCs w:val="24"/>
        </w:rPr>
        <w:tab/>
      </w:r>
      <w:r w:rsidRPr="00B0181F">
        <w:rPr>
          <w:rFonts w:ascii="Arial" w:hAnsi="Arial" w:cs="Arial"/>
          <w:b/>
          <w:sz w:val="24"/>
          <w:szCs w:val="24"/>
        </w:rPr>
        <w:tab/>
      </w:r>
      <w:r w:rsidRPr="00B0181F">
        <w:rPr>
          <w:rFonts w:ascii="Arial" w:hAnsi="Arial" w:cs="Arial"/>
          <w:b/>
          <w:sz w:val="24"/>
          <w:szCs w:val="24"/>
        </w:rPr>
        <w:tab/>
      </w:r>
      <w:r w:rsidRPr="00B0181F">
        <w:rPr>
          <w:rFonts w:ascii="Arial" w:hAnsi="Arial" w:cs="Arial"/>
          <w:b/>
          <w:sz w:val="24"/>
          <w:szCs w:val="24"/>
        </w:rPr>
        <w:tab/>
      </w:r>
    </w:p>
    <w:tbl>
      <w:tblPr>
        <w:tblW w:w="92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347"/>
      </w:tblGrid>
      <w:tr w:rsidR="00E72A64" w:rsidRPr="003652B9" w14:paraId="2FA50773" w14:textId="77777777" w:rsidTr="001070EC">
        <w:tc>
          <w:tcPr>
            <w:tcW w:w="2945" w:type="dxa"/>
            <w:tcBorders>
              <w:top w:val="single" w:sz="4" w:space="0" w:color="auto"/>
              <w:left w:val="single" w:sz="4" w:space="0" w:color="auto"/>
            </w:tcBorders>
            <w:shd w:val="clear" w:color="auto" w:fill="E0E0E0"/>
            <w:vAlign w:val="center"/>
          </w:tcPr>
          <w:p w14:paraId="0D69291B"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t>Area of Assessment:</w:t>
            </w:r>
          </w:p>
        </w:tc>
        <w:tc>
          <w:tcPr>
            <w:tcW w:w="6347" w:type="dxa"/>
            <w:tcBorders>
              <w:top w:val="single" w:sz="4" w:space="0" w:color="auto"/>
              <w:right w:val="single" w:sz="4" w:space="0" w:color="auto"/>
            </w:tcBorders>
            <w:shd w:val="clear" w:color="auto" w:fill="auto"/>
            <w:vAlign w:val="center"/>
          </w:tcPr>
          <w:p w14:paraId="165AACD4" w14:textId="51EFED76" w:rsidR="00E72A64" w:rsidRPr="003652B9" w:rsidRDefault="10CD6322" w:rsidP="4D65ED4F">
            <w:pPr>
              <w:spacing w:before="120" w:after="120"/>
            </w:pPr>
            <w:r w:rsidRPr="4D65ED4F">
              <w:rPr>
                <w:rFonts w:ascii="Arial" w:hAnsi="Arial" w:cs="Arial"/>
                <w:b/>
                <w:bCs/>
                <w:sz w:val="24"/>
                <w:szCs w:val="24"/>
              </w:rPr>
              <w:t xml:space="preserve">Local Safer Streets Round 2 Tranche 3 </w:t>
            </w:r>
            <w:r w:rsidR="001070EC">
              <w:rPr>
                <w:rFonts w:ascii="Arial" w:hAnsi="Arial" w:cs="Arial"/>
                <w:b/>
                <w:bCs/>
                <w:sz w:val="24"/>
                <w:szCs w:val="24"/>
              </w:rPr>
              <w:t>F</w:t>
            </w:r>
            <w:r w:rsidRPr="4D65ED4F">
              <w:rPr>
                <w:rFonts w:ascii="Arial" w:hAnsi="Arial" w:cs="Arial"/>
                <w:b/>
                <w:bCs/>
                <w:sz w:val="24"/>
                <w:szCs w:val="24"/>
              </w:rPr>
              <w:t xml:space="preserve">unding </w:t>
            </w:r>
            <w:r w:rsidR="001070EC">
              <w:rPr>
                <w:rFonts w:ascii="Arial" w:hAnsi="Arial" w:cs="Arial"/>
                <w:b/>
                <w:bCs/>
                <w:sz w:val="24"/>
                <w:szCs w:val="24"/>
              </w:rPr>
              <w:t>A</w:t>
            </w:r>
            <w:r w:rsidRPr="4D65ED4F">
              <w:rPr>
                <w:rFonts w:ascii="Arial" w:hAnsi="Arial" w:cs="Arial"/>
                <w:b/>
                <w:bCs/>
                <w:sz w:val="24"/>
                <w:szCs w:val="24"/>
              </w:rPr>
              <w:t>llocations</w:t>
            </w:r>
          </w:p>
        </w:tc>
      </w:tr>
      <w:tr w:rsidR="00E72A64" w:rsidRPr="003652B9" w14:paraId="51ADB55C" w14:textId="77777777" w:rsidTr="001070EC">
        <w:tc>
          <w:tcPr>
            <w:tcW w:w="2945" w:type="dxa"/>
            <w:tcBorders>
              <w:left w:val="single" w:sz="4" w:space="0" w:color="auto"/>
            </w:tcBorders>
            <w:shd w:val="clear" w:color="auto" w:fill="E0E0E0"/>
            <w:vAlign w:val="center"/>
          </w:tcPr>
          <w:p w14:paraId="691B96B9"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t>Date of Assessment:</w:t>
            </w:r>
          </w:p>
        </w:tc>
        <w:tc>
          <w:tcPr>
            <w:tcW w:w="6347" w:type="dxa"/>
            <w:tcBorders>
              <w:right w:val="single" w:sz="4" w:space="0" w:color="auto"/>
            </w:tcBorders>
            <w:shd w:val="clear" w:color="auto" w:fill="auto"/>
            <w:vAlign w:val="center"/>
          </w:tcPr>
          <w:p w14:paraId="62723024" w14:textId="106D27F1" w:rsidR="00E72A64" w:rsidRPr="003652B9" w:rsidRDefault="00D24AD9" w:rsidP="408B1C7D">
            <w:pPr>
              <w:rPr>
                <w:rFonts w:ascii="Arial" w:hAnsi="Arial" w:cs="Arial"/>
                <w:b/>
                <w:bCs/>
                <w:sz w:val="24"/>
                <w:szCs w:val="24"/>
              </w:rPr>
            </w:pPr>
            <w:r w:rsidRPr="4D65ED4F">
              <w:rPr>
                <w:rFonts w:ascii="Arial" w:hAnsi="Arial" w:cs="Arial"/>
                <w:b/>
                <w:bCs/>
                <w:sz w:val="24"/>
                <w:szCs w:val="24"/>
              </w:rPr>
              <w:t>1</w:t>
            </w:r>
            <w:r w:rsidR="5E22EE86" w:rsidRPr="4D65ED4F">
              <w:rPr>
                <w:rFonts w:ascii="Arial" w:hAnsi="Arial" w:cs="Arial"/>
                <w:b/>
                <w:bCs/>
                <w:sz w:val="24"/>
                <w:szCs w:val="24"/>
              </w:rPr>
              <w:t>5</w:t>
            </w:r>
            <w:r w:rsidRPr="4D65ED4F">
              <w:rPr>
                <w:rFonts w:ascii="Arial" w:hAnsi="Arial" w:cs="Arial"/>
                <w:b/>
                <w:bCs/>
                <w:sz w:val="24"/>
                <w:szCs w:val="24"/>
              </w:rPr>
              <w:t xml:space="preserve"> M</w:t>
            </w:r>
            <w:r w:rsidR="7C7FEF87" w:rsidRPr="4D65ED4F">
              <w:rPr>
                <w:rFonts w:ascii="Arial" w:hAnsi="Arial" w:cs="Arial"/>
                <w:b/>
                <w:bCs/>
                <w:sz w:val="24"/>
                <w:szCs w:val="24"/>
              </w:rPr>
              <w:t xml:space="preserve">ay </w:t>
            </w:r>
            <w:r w:rsidRPr="4D65ED4F">
              <w:rPr>
                <w:rFonts w:ascii="Arial" w:hAnsi="Arial" w:cs="Arial"/>
                <w:b/>
                <w:bCs/>
                <w:sz w:val="24"/>
                <w:szCs w:val="24"/>
              </w:rPr>
              <w:t>2024</w:t>
            </w:r>
          </w:p>
        </w:tc>
      </w:tr>
      <w:tr w:rsidR="00E72A64" w:rsidRPr="003652B9" w14:paraId="6A8D2FA0" w14:textId="77777777" w:rsidTr="001070EC">
        <w:tc>
          <w:tcPr>
            <w:tcW w:w="2945" w:type="dxa"/>
            <w:tcBorders>
              <w:left w:val="single" w:sz="4" w:space="0" w:color="auto"/>
            </w:tcBorders>
            <w:shd w:val="clear" w:color="auto" w:fill="E0E0E0"/>
            <w:vAlign w:val="center"/>
          </w:tcPr>
          <w:p w14:paraId="101373ED"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t>Owner:</w:t>
            </w:r>
          </w:p>
        </w:tc>
        <w:tc>
          <w:tcPr>
            <w:tcW w:w="6347" w:type="dxa"/>
            <w:tcBorders>
              <w:right w:val="single" w:sz="4" w:space="0" w:color="auto"/>
            </w:tcBorders>
            <w:shd w:val="clear" w:color="auto" w:fill="auto"/>
            <w:vAlign w:val="center"/>
          </w:tcPr>
          <w:p w14:paraId="5552F4FB" w14:textId="47D1379E" w:rsidR="00E72A64" w:rsidRPr="003652B9" w:rsidRDefault="00CE28E7" w:rsidP="00CE0907">
            <w:pPr>
              <w:rPr>
                <w:rFonts w:ascii="Arial" w:hAnsi="Arial" w:cs="Arial"/>
                <w:b/>
                <w:sz w:val="24"/>
                <w:szCs w:val="24"/>
              </w:rPr>
            </w:pPr>
            <w:r>
              <w:rPr>
                <w:rFonts w:ascii="Arial" w:hAnsi="Arial" w:cs="Arial"/>
                <w:b/>
                <w:sz w:val="24"/>
                <w:szCs w:val="24"/>
              </w:rPr>
              <w:t>Greg Myddelton</w:t>
            </w:r>
            <w:r w:rsidR="001070EC">
              <w:rPr>
                <w:rFonts w:ascii="Arial" w:hAnsi="Arial" w:cs="Arial"/>
                <w:b/>
                <w:sz w:val="24"/>
                <w:szCs w:val="24"/>
              </w:rPr>
              <w:t xml:space="preserve"> (Strategic Head of Partnerships and Delivery)</w:t>
            </w:r>
          </w:p>
        </w:tc>
      </w:tr>
      <w:tr w:rsidR="00E72A64" w:rsidRPr="003652B9" w14:paraId="40F79A7A" w14:textId="77777777" w:rsidTr="001070EC">
        <w:tc>
          <w:tcPr>
            <w:tcW w:w="2945" w:type="dxa"/>
            <w:tcBorders>
              <w:left w:val="single" w:sz="4" w:space="0" w:color="auto"/>
              <w:bottom w:val="single" w:sz="4" w:space="0" w:color="auto"/>
            </w:tcBorders>
            <w:shd w:val="clear" w:color="auto" w:fill="E0E0E0"/>
            <w:vAlign w:val="center"/>
          </w:tcPr>
          <w:p w14:paraId="45690349"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t>New or existing policy/function:</w:t>
            </w:r>
          </w:p>
        </w:tc>
        <w:tc>
          <w:tcPr>
            <w:tcW w:w="6347" w:type="dxa"/>
            <w:tcBorders>
              <w:bottom w:val="single" w:sz="4" w:space="0" w:color="auto"/>
              <w:right w:val="single" w:sz="4" w:space="0" w:color="auto"/>
            </w:tcBorders>
            <w:shd w:val="clear" w:color="auto" w:fill="auto"/>
            <w:vAlign w:val="center"/>
          </w:tcPr>
          <w:p w14:paraId="68AFF284" w14:textId="29E5CA02" w:rsidR="00E72A64" w:rsidRPr="003652B9" w:rsidRDefault="00CE28E7" w:rsidP="00675AEF">
            <w:pPr>
              <w:spacing w:before="120" w:after="120"/>
              <w:rPr>
                <w:rFonts w:ascii="Arial" w:hAnsi="Arial" w:cs="Arial"/>
                <w:b/>
                <w:sz w:val="24"/>
                <w:szCs w:val="24"/>
              </w:rPr>
            </w:pPr>
            <w:r>
              <w:rPr>
                <w:rFonts w:ascii="Arial" w:hAnsi="Arial" w:cs="Arial"/>
                <w:b/>
                <w:sz w:val="24"/>
                <w:szCs w:val="24"/>
              </w:rPr>
              <w:t>Existing – commissioning</w:t>
            </w:r>
            <w:r w:rsidR="000E1586">
              <w:rPr>
                <w:rFonts w:ascii="Arial" w:hAnsi="Arial" w:cs="Arial"/>
                <w:b/>
                <w:sz w:val="24"/>
                <w:szCs w:val="24"/>
              </w:rPr>
              <w:t xml:space="preserve"> </w:t>
            </w:r>
            <w:r>
              <w:rPr>
                <w:rFonts w:ascii="Arial" w:hAnsi="Arial" w:cs="Arial"/>
                <w:b/>
                <w:sz w:val="24"/>
                <w:szCs w:val="24"/>
              </w:rPr>
              <w:t>/</w:t>
            </w:r>
            <w:r w:rsidR="000E1586">
              <w:rPr>
                <w:rFonts w:ascii="Arial" w:hAnsi="Arial" w:cs="Arial"/>
                <w:b/>
                <w:sz w:val="24"/>
                <w:szCs w:val="24"/>
              </w:rPr>
              <w:t xml:space="preserve"> </w:t>
            </w:r>
            <w:r>
              <w:rPr>
                <w:rFonts w:ascii="Arial" w:hAnsi="Arial" w:cs="Arial"/>
                <w:b/>
                <w:sz w:val="24"/>
                <w:szCs w:val="24"/>
              </w:rPr>
              <w:t>grant funding</w:t>
            </w:r>
          </w:p>
        </w:tc>
      </w:tr>
      <w:tr w:rsidR="00E72A64" w:rsidRPr="003652B9" w14:paraId="4BC440D5" w14:textId="77777777" w:rsidTr="079684F3">
        <w:tc>
          <w:tcPr>
            <w:tcW w:w="9292" w:type="dxa"/>
            <w:gridSpan w:val="2"/>
            <w:tcBorders>
              <w:top w:val="nil"/>
              <w:left w:val="nil"/>
              <w:bottom w:val="nil"/>
              <w:right w:val="nil"/>
            </w:tcBorders>
            <w:shd w:val="clear" w:color="auto" w:fill="3366FF"/>
          </w:tcPr>
          <w:p w14:paraId="75EE2311" w14:textId="77777777" w:rsidR="00E72A64" w:rsidRPr="003652B9" w:rsidRDefault="00E72A64" w:rsidP="00CE0907">
            <w:pPr>
              <w:spacing w:before="120" w:after="120"/>
              <w:rPr>
                <w:rFonts w:ascii="Arial" w:hAnsi="Arial" w:cs="Arial"/>
                <w:b/>
                <w:color w:val="FFFFFF"/>
                <w:sz w:val="24"/>
                <w:szCs w:val="24"/>
              </w:rPr>
            </w:pPr>
            <w:r w:rsidRPr="003652B9">
              <w:rPr>
                <w:rFonts w:ascii="Arial" w:hAnsi="Arial" w:cs="Arial"/>
                <w:b/>
                <w:sz w:val="24"/>
                <w:szCs w:val="24"/>
              </w:rPr>
              <w:tab/>
            </w:r>
            <w:r w:rsidRPr="003652B9">
              <w:rPr>
                <w:rFonts w:ascii="Arial" w:hAnsi="Arial" w:cs="Arial"/>
                <w:b/>
                <w:sz w:val="24"/>
                <w:szCs w:val="24"/>
              </w:rPr>
              <w:tab/>
              <w:t xml:space="preserve">    </w:t>
            </w:r>
            <w:r w:rsidRPr="003652B9">
              <w:rPr>
                <w:rFonts w:ascii="Arial" w:hAnsi="Arial" w:cs="Arial"/>
                <w:b/>
                <w:color w:val="FFFFFF"/>
                <w:sz w:val="24"/>
                <w:szCs w:val="24"/>
              </w:rPr>
              <w:t>Stage 1 – Detail of policy, function, project or proposal</w:t>
            </w:r>
          </w:p>
        </w:tc>
      </w:tr>
      <w:tr w:rsidR="00E72A64" w:rsidRPr="003652B9" w14:paraId="3DB3E09F" w14:textId="77777777" w:rsidTr="079684F3">
        <w:tc>
          <w:tcPr>
            <w:tcW w:w="9292" w:type="dxa"/>
            <w:gridSpan w:val="2"/>
            <w:shd w:val="clear" w:color="auto" w:fill="D9D9D9" w:themeFill="background1" w:themeFillShade="D9"/>
            <w:vAlign w:val="center"/>
          </w:tcPr>
          <w:p w14:paraId="42F7F662" w14:textId="1FE7E4B8"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Briefly describe the aims, objectives and outcomes of the policy</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function</w:t>
            </w:r>
          </w:p>
        </w:tc>
      </w:tr>
      <w:tr w:rsidR="00E72A64" w:rsidRPr="003652B9" w14:paraId="7983865A" w14:textId="77777777" w:rsidTr="079684F3">
        <w:tc>
          <w:tcPr>
            <w:tcW w:w="9292" w:type="dxa"/>
            <w:gridSpan w:val="2"/>
            <w:tcBorders>
              <w:bottom w:val="single" w:sz="4" w:space="0" w:color="auto"/>
            </w:tcBorders>
            <w:shd w:val="clear" w:color="auto" w:fill="auto"/>
            <w:vAlign w:val="center"/>
          </w:tcPr>
          <w:p w14:paraId="220565A0" w14:textId="3BD0FD3E" w:rsidR="008A0E81" w:rsidRPr="00605177" w:rsidRDefault="00CE28E7" w:rsidP="4D65ED4F">
            <w:pPr>
              <w:spacing w:before="120" w:after="120"/>
              <w:rPr>
                <w:rFonts w:ascii="Arial" w:hAnsi="Arial" w:cs="Arial"/>
                <w:sz w:val="24"/>
                <w:szCs w:val="24"/>
              </w:rPr>
            </w:pPr>
            <w:r w:rsidRPr="4D65ED4F">
              <w:rPr>
                <w:rFonts w:ascii="Arial" w:hAnsi="Arial" w:cs="Arial"/>
                <w:sz w:val="24"/>
                <w:szCs w:val="24"/>
              </w:rPr>
              <w:t xml:space="preserve">The </w:t>
            </w:r>
            <w:r w:rsidR="6899123C" w:rsidRPr="4D65ED4F">
              <w:rPr>
                <w:rFonts w:ascii="Arial" w:hAnsi="Arial" w:cs="Arial"/>
                <w:sz w:val="24"/>
                <w:szCs w:val="24"/>
              </w:rPr>
              <w:t xml:space="preserve">PFCC’s Local Safer Streets </w:t>
            </w:r>
            <w:r w:rsidRPr="4D65ED4F">
              <w:rPr>
                <w:rFonts w:ascii="Arial" w:hAnsi="Arial" w:cs="Arial"/>
                <w:sz w:val="24"/>
                <w:szCs w:val="24"/>
              </w:rPr>
              <w:t xml:space="preserve">Fund </w:t>
            </w:r>
            <w:r w:rsidR="3D01331F" w:rsidRPr="4D65ED4F">
              <w:rPr>
                <w:rFonts w:ascii="Arial" w:hAnsi="Arial" w:cs="Arial"/>
                <w:sz w:val="24"/>
                <w:szCs w:val="24"/>
              </w:rPr>
              <w:t>targets funding to hyper-local areas with the ambition to reduce crime and anti-social behaviour as well as improving the perception of crime and community safety amongst local residents.</w:t>
            </w:r>
          </w:p>
          <w:p w14:paraId="493B0D8C" w14:textId="36310357" w:rsidR="008A0E81" w:rsidRPr="00605177" w:rsidRDefault="3D01331F" w:rsidP="4D65ED4F">
            <w:pPr>
              <w:spacing w:before="120" w:after="120"/>
              <w:rPr>
                <w:rFonts w:ascii="Arial" w:hAnsi="Arial" w:cs="Arial"/>
                <w:sz w:val="24"/>
                <w:szCs w:val="24"/>
              </w:rPr>
            </w:pPr>
            <w:r w:rsidRPr="4D65ED4F">
              <w:rPr>
                <w:rFonts w:ascii="Arial" w:hAnsi="Arial" w:cs="Arial"/>
                <w:sz w:val="24"/>
                <w:szCs w:val="24"/>
              </w:rPr>
              <w:t>The PFCC is proposing an investment of £1.</w:t>
            </w:r>
            <w:r w:rsidR="00FF4204">
              <w:rPr>
                <w:rFonts w:ascii="Arial" w:hAnsi="Arial" w:cs="Arial"/>
                <w:sz w:val="24"/>
                <w:szCs w:val="24"/>
              </w:rPr>
              <w:t>6</w:t>
            </w:r>
            <w:r w:rsidRPr="4D65ED4F">
              <w:rPr>
                <w:rFonts w:ascii="Arial" w:hAnsi="Arial" w:cs="Arial"/>
                <w:sz w:val="24"/>
                <w:szCs w:val="24"/>
              </w:rPr>
              <w:t>m via tranche 3 of round 2 of this fund. This will see investment in 19 projects across the breadth of Essex</w:t>
            </w:r>
          </w:p>
        </w:tc>
      </w:tr>
      <w:tr w:rsidR="00E72A64" w:rsidRPr="003652B9" w14:paraId="5E546C21" w14:textId="77777777" w:rsidTr="079684F3">
        <w:tc>
          <w:tcPr>
            <w:tcW w:w="9292" w:type="dxa"/>
            <w:gridSpan w:val="2"/>
            <w:tcBorders>
              <w:left w:val="single" w:sz="4" w:space="0" w:color="auto"/>
            </w:tcBorders>
            <w:shd w:val="clear" w:color="auto" w:fill="D9D9D9" w:themeFill="background1" w:themeFillShade="D9"/>
            <w:vAlign w:val="center"/>
          </w:tcPr>
          <w:p w14:paraId="45C62A60" w14:textId="02B1B731"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What policies</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procedures</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functions are relevant to this area?</w:t>
            </w:r>
          </w:p>
        </w:tc>
      </w:tr>
      <w:tr w:rsidR="00E72A64" w:rsidRPr="003652B9" w14:paraId="110B90AD" w14:textId="77777777" w:rsidTr="079684F3">
        <w:tc>
          <w:tcPr>
            <w:tcW w:w="9292" w:type="dxa"/>
            <w:gridSpan w:val="2"/>
            <w:tcBorders>
              <w:left w:val="single" w:sz="4" w:space="0" w:color="auto"/>
              <w:bottom w:val="single" w:sz="4" w:space="0" w:color="auto"/>
            </w:tcBorders>
            <w:shd w:val="clear" w:color="auto" w:fill="auto"/>
            <w:vAlign w:val="center"/>
          </w:tcPr>
          <w:p w14:paraId="67C52439" w14:textId="1F0F1312" w:rsidR="00E72A64" w:rsidRPr="008A0E81" w:rsidRDefault="00CE28E7" w:rsidP="4D65ED4F">
            <w:pPr>
              <w:spacing w:before="120" w:after="120"/>
              <w:rPr>
                <w:rFonts w:ascii="Arial" w:hAnsi="Arial" w:cs="Arial"/>
                <w:sz w:val="24"/>
                <w:szCs w:val="24"/>
              </w:rPr>
            </w:pPr>
            <w:r w:rsidRPr="4D65ED4F">
              <w:rPr>
                <w:rFonts w:ascii="Arial" w:hAnsi="Arial" w:cs="Arial"/>
                <w:sz w:val="24"/>
                <w:szCs w:val="24"/>
              </w:rPr>
              <w:t xml:space="preserve">The </w:t>
            </w:r>
            <w:r w:rsidR="58646327" w:rsidRPr="4D65ED4F">
              <w:rPr>
                <w:rFonts w:ascii="Arial" w:hAnsi="Arial" w:cs="Arial"/>
                <w:sz w:val="24"/>
                <w:szCs w:val="24"/>
              </w:rPr>
              <w:t xml:space="preserve">Local </w:t>
            </w:r>
            <w:r w:rsidR="564E079D" w:rsidRPr="4D65ED4F">
              <w:rPr>
                <w:rFonts w:ascii="Arial" w:hAnsi="Arial" w:cs="Arial"/>
                <w:sz w:val="24"/>
                <w:szCs w:val="24"/>
              </w:rPr>
              <w:t xml:space="preserve">Safer Streets </w:t>
            </w:r>
            <w:r w:rsidRPr="4D65ED4F">
              <w:rPr>
                <w:rFonts w:ascii="Arial" w:hAnsi="Arial" w:cs="Arial"/>
                <w:sz w:val="24"/>
                <w:szCs w:val="24"/>
              </w:rPr>
              <w:t>F</w:t>
            </w:r>
            <w:r w:rsidR="09701150" w:rsidRPr="4D65ED4F">
              <w:rPr>
                <w:rFonts w:ascii="Arial" w:hAnsi="Arial" w:cs="Arial"/>
                <w:sz w:val="24"/>
                <w:szCs w:val="24"/>
              </w:rPr>
              <w:t>und</w:t>
            </w:r>
            <w:r w:rsidRPr="4D65ED4F">
              <w:rPr>
                <w:rFonts w:ascii="Arial" w:hAnsi="Arial" w:cs="Arial"/>
                <w:sz w:val="24"/>
                <w:szCs w:val="24"/>
              </w:rPr>
              <w:t xml:space="preserve"> forms part of the PFCC’s broader commissioning function.</w:t>
            </w:r>
          </w:p>
        </w:tc>
      </w:tr>
      <w:tr w:rsidR="00E72A64" w:rsidRPr="003652B9" w14:paraId="10DABF98" w14:textId="77777777" w:rsidTr="079684F3">
        <w:tc>
          <w:tcPr>
            <w:tcW w:w="9292" w:type="dxa"/>
            <w:gridSpan w:val="2"/>
            <w:tcBorders>
              <w:left w:val="single" w:sz="4" w:space="0" w:color="auto"/>
              <w:bottom w:val="single" w:sz="4" w:space="0" w:color="auto"/>
            </w:tcBorders>
            <w:shd w:val="clear" w:color="auto" w:fill="0000FF"/>
          </w:tcPr>
          <w:p w14:paraId="03B9FAE4" w14:textId="77777777" w:rsidR="00E72A64" w:rsidRPr="003652B9" w:rsidRDefault="00E72A64" w:rsidP="00CE0907">
            <w:pPr>
              <w:spacing w:before="120" w:after="120"/>
              <w:rPr>
                <w:rFonts w:ascii="Arial" w:hAnsi="Arial" w:cs="Arial"/>
                <w:b/>
                <w:color w:val="FFFFFF"/>
                <w:sz w:val="24"/>
                <w:szCs w:val="24"/>
              </w:rPr>
            </w:pPr>
            <w:r w:rsidRPr="003652B9">
              <w:rPr>
                <w:rFonts w:ascii="Arial" w:hAnsi="Arial" w:cs="Arial"/>
                <w:b/>
                <w:color w:val="FFFFFF"/>
                <w:sz w:val="24"/>
                <w:szCs w:val="24"/>
              </w:rPr>
              <w:t>Stage 2 – Consider the Evidence</w:t>
            </w:r>
          </w:p>
        </w:tc>
      </w:tr>
      <w:tr w:rsidR="00E72A64" w:rsidRPr="003652B9" w14:paraId="7600F1CF" w14:textId="77777777" w:rsidTr="079684F3">
        <w:tc>
          <w:tcPr>
            <w:tcW w:w="9292" w:type="dxa"/>
            <w:gridSpan w:val="2"/>
            <w:tcBorders>
              <w:left w:val="single" w:sz="4" w:space="0" w:color="auto"/>
              <w:bottom w:val="single" w:sz="4" w:space="0" w:color="auto"/>
            </w:tcBorders>
            <w:shd w:val="clear" w:color="auto" w:fill="D9D9D9" w:themeFill="background1" w:themeFillShade="D9"/>
          </w:tcPr>
          <w:p w14:paraId="32F4D7A0" w14:textId="4343BEE2"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Which individuals and organisations are likely to be affected by the policy</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function and in what way?</w:t>
            </w:r>
          </w:p>
        </w:tc>
      </w:tr>
      <w:tr w:rsidR="00E72A64" w:rsidRPr="003652B9" w14:paraId="65CBC621" w14:textId="77777777" w:rsidTr="079684F3">
        <w:tc>
          <w:tcPr>
            <w:tcW w:w="9292" w:type="dxa"/>
            <w:gridSpan w:val="2"/>
            <w:tcBorders>
              <w:left w:val="single" w:sz="4" w:space="0" w:color="auto"/>
              <w:bottom w:val="single" w:sz="4" w:space="0" w:color="auto"/>
            </w:tcBorders>
            <w:shd w:val="clear" w:color="auto" w:fill="auto"/>
          </w:tcPr>
          <w:p w14:paraId="5C88A587" w14:textId="4ED6B16E" w:rsidR="00CE28E7" w:rsidRPr="003652B9" w:rsidRDefault="00CE28E7" w:rsidP="4D65ED4F">
            <w:pPr>
              <w:autoSpaceDE w:val="0"/>
              <w:autoSpaceDN w:val="0"/>
              <w:adjustRightInd w:val="0"/>
              <w:spacing w:before="240" w:after="240"/>
              <w:rPr>
                <w:rFonts w:ascii="Arial" w:hAnsi="Arial" w:cs="Arial"/>
                <w:sz w:val="24"/>
                <w:szCs w:val="24"/>
              </w:rPr>
            </w:pPr>
            <w:r w:rsidRPr="4D65ED4F">
              <w:rPr>
                <w:rFonts w:ascii="Arial" w:hAnsi="Arial" w:cs="Arial"/>
                <w:sz w:val="24"/>
                <w:szCs w:val="24"/>
              </w:rPr>
              <w:t>The</w:t>
            </w:r>
            <w:r w:rsidR="3C5084E1" w:rsidRPr="4D65ED4F">
              <w:rPr>
                <w:rFonts w:ascii="Arial" w:hAnsi="Arial" w:cs="Arial"/>
                <w:sz w:val="24"/>
                <w:szCs w:val="24"/>
              </w:rPr>
              <w:t xml:space="preserve"> PFCC encouraged </w:t>
            </w:r>
            <w:r w:rsidR="2A3B2B95" w:rsidRPr="4D65ED4F">
              <w:rPr>
                <w:rFonts w:ascii="Arial" w:hAnsi="Arial" w:cs="Arial"/>
                <w:sz w:val="24"/>
                <w:szCs w:val="24"/>
              </w:rPr>
              <w:t xml:space="preserve">Safer Streets </w:t>
            </w:r>
            <w:r w:rsidR="3C5084E1" w:rsidRPr="4D65ED4F">
              <w:rPr>
                <w:rFonts w:ascii="Arial" w:hAnsi="Arial" w:cs="Arial"/>
                <w:sz w:val="24"/>
                <w:szCs w:val="24"/>
              </w:rPr>
              <w:t>bids from</w:t>
            </w:r>
            <w:r w:rsidR="10FB0155" w:rsidRPr="4D65ED4F">
              <w:rPr>
                <w:rFonts w:ascii="Arial" w:hAnsi="Arial" w:cs="Arial"/>
                <w:sz w:val="24"/>
                <w:szCs w:val="24"/>
              </w:rPr>
              <w:t xml:space="preserve"> Community Safety Partnerships</w:t>
            </w:r>
            <w:r w:rsidR="4C2EB3D5" w:rsidRPr="4D65ED4F">
              <w:rPr>
                <w:rFonts w:ascii="Arial" w:hAnsi="Arial" w:cs="Arial"/>
                <w:sz w:val="24"/>
                <w:szCs w:val="24"/>
              </w:rPr>
              <w:t xml:space="preserve">, launching the </w:t>
            </w:r>
            <w:r w:rsidR="00780688">
              <w:rPr>
                <w:rFonts w:ascii="Arial" w:hAnsi="Arial" w:cs="Arial"/>
                <w:sz w:val="24"/>
                <w:szCs w:val="24"/>
              </w:rPr>
              <w:t>f</w:t>
            </w:r>
            <w:r w:rsidR="4C2EB3D5" w:rsidRPr="4D65ED4F">
              <w:rPr>
                <w:rFonts w:ascii="Arial" w:hAnsi="Arial" w:cs="Arial"/>
                <w:sz w:val="24"/>
                <w:szCs w:val="24"/>
              </w:rPr>
              <w:t xml:space="preserve">und at the PFCC conference in </w:t>
            </w:r>
            <w:r w:rsidR="68D1FDA0" w:rsidRPr="4D65ED4F">
              <w:rPr>
                <w:rFonts w:ascii="Arial" w:hAnsi="Arial" w:cs="Arial"/>
                <w:sz w:val="24"/>
                <w:szCs w:val="24"/>
              </w:rPr>
              <w:t xml:space="preserve">June </w:t>
            </w:r>
            <w:r w:rsidR="00780688">
              <w:rPr>
                <w:rFonts w:ascii="Arial" w:hAnsi="Arial" w:cs="Arial"/>
                <w:sz w:val="24"/>
                <w:szCs w:val="24"/>
              </w:rPr>
              <w:t>20</w:t>
            </w:r>
            <w:r w:rsidR="68D1FDA0" w:rsidRPr="4D65ED4F">
              <w:rPr>
                <w:rFonts w:ascii="Arial" w:hAnsi="Arial" w:cs="Arial"/>
                <w:sz w:val="24"/>
                <w:szCs w:val="24"/>
              </w:rPr>
              <w:t xml:space="preserve">23. The </w:t>
            </w:r>
            <w:r w:rsidR="00780688">
              <w:rPr>
                <w:rFonts w:ascii="Arial" w:hAnsi="Arial" w:cs="Arial"/>
                <w:sz w:val="24"/>
                <w:szCs w:val="24"/>
              </w:rPr>
              <w:t>f</w:t>
            </w:r>
            <w:r w:rsidR="68D1FDA0" w:rsidRPr="4D65ED4F">
              <w:rPr>
                <w:rFonts w:ascii="Arial" w:hAnsi="Arial" w:cs="Arial"/>
                <w:sz w:val="24"/>
                <w:szCs w:val="24"/>
              </w:rPr>
              <w:t>und</w:t>
            </w:r>
            <w:r w:rsidR="510E18A2" w:rsidRPr="4D65ED4F">
              <w:rPr>
                <w:rFonts w:ascii="Arial" w:hAnsi="Arial" w:cs="Arial"/>
                <w:sz w:val="24"/>
                <w:szCs w:val="24"/>
              </w:rPr>
              <w:t xml:space="preserve"> is </w:t>
            </w:r>
            <w:r w:rsidR="68D1FDA0" w:rsidRPr="4D65ED4F">
              <w:rPr>
                <w:rFonts w:ascii="Arial" w:hAnsi="Arial" w:cs="Arial"/>
                <w:sz w:val="24"/>
                <w:szCs w:val="24"/>
              </w:rPr>
              <w:t>restrict</w:t>
            </w:r>
            <w:r w:rsidR="4696DD51" w:rsidRPr="4D65ED4F">
              <w:rPr>
                <w:rFonts w:ascii="Arial" w:hAnsi="Arial" w:cs="Arial"/>
                <w:sz w:val="24"/>
                <w:szCs w:val="24"/>
              </w:rPr>
              <w:t>ed</w:t>
            </w:r>
            <w:r w:rsidR="74932540" w:rsidRPr="4D65ED4F">
              <w:rPr>
                <w:rFonts w:ascii="Arial" w:hAnsi="Arial" w:cs="Arial"/>
                <w:sz w:val="24"/>
                <w:szCs w:val="24"/>
              </w:rPr>
              <w:t xml:space="preserve"> </w:t>
            </w:r>
            <w:r w:rsidR="2EC44947" w:rsidRPr="4D65ED4F">
              <w:rPr>
                <w:rFonts w:ascii="Arial" w:hAnsi="Arial" w:cs="Arial"/>
                <w:sz w:val="24"/>
                <w:szCs w:val="24"/>
              </w:rPr>
              <w:t xml:space="preserve">to </w:t>
            </w:r>
            <w:r w:rsidR="68D1FDA0" w:rsidRPr="4D65ED4F">
              <w:rPr>
                <w:rFonts w:ascii="Arial" w:hAnsi="Arial" w:cs="Arial"/>
                <w:sz w:val="24"/>
                <w:szCs w:val="24"/>
              </w:rPr>
              <w:t xml:space="preserve">bids </w:t>
            </w:r>
            <w:r w:rsidR="45C6FE6A" w:rsidRPr="4D65ED4F">
              <w:rPr>
                <w:rFonts w:ascii="Arial" w:hAnsi="Arial" w:cs="Arial"/>
                <w:sz w:val="24"/>
                <w:szCs w:val="24"/>
              </w:rPr>
              <w:t>from CSPs only</w:t>
            </w:r>
            <w:r w:rsidR="1DEE32A8" w:rsidRPr="4D65ED4F">
              <w:rPr>
                <w:rFonts w:ascii="Arial" w:hAnsi="Arial" w:cs="Arial"/>
                <w:sz w:val="24"/>
                <w:szCs w:val="24"/>
              </w:rPr>
              <w:t>, but CSPs are required to undertake consultation with stakeholders as part of the bid development process</w:t>
            </w:r>
            <w:r w:rsidR="530325DC" w:rsidRPr="4D65ED4F">
              <w:rPr>
                <w:rFonts w:ascii="Arial" w:hAnsi="Arial" w:cs="Arial"/>
                <w:sz w:val="24"/>
                <w:szCs w:val="24"/>
              </w:rPr>
              <w:t>.</w:t>
            </w:r>
            <w:r w:rsidR="00780688">
              <w:rPr>
                <w:rFonts w:ascii="Arial" w:hAnsi="Arial" w:cs="Arial"/>
                <w:sz w:val="24"/>
                <w:szCs w:val="24"/>
              </w:rPr>
              <w:t xml:space="preserve">  </w:t>
            </w:r>
            <w:r w:rsidR="32D665FE" w:rsidRPr="4D65ED4F">
              <w:rPr>
                <w:rFonts w:ascii="Arial" w:hAnsi="Arial" w:cs="Arial"/>
                <w:sz w:val="24"/>
                <w:szCs w:val="24"/>
              </w:rPr>
              <w:t xml:space="preserve">The </w:t>
            </w:r>
            <w:r w:rsidR="00780688">
              <w:rPr>
                <w:rFonts w:ascii="Arial" w:hAnsi="Arial" w:cs="Arial"/>
                <w:sz w:val="24"/>
                <w:szCs w:val="24"/>
              </w:rPr>
              <w:t>c</w:t>
            </w:r>
            <w:r w:rsidR="32D665FE" w:rsidRPr="4D65ED4F">
              <w:rPr>
                <w:rFonts w:ascii="Arial" w:hAnsi="Arial" w:cs="Arial"/>
                <w:sz w:val="24"/>
                <w:szCs w:val="24"/>
              </w:rPr>
              <w:t xml:space="preserve">riteria of the PFCC’s Local Safer Streets Fund was provided to CSPs at the launch of the </w:t>
            </w:r>
            <w:r w:rsidR="00780688">
              <w:rPr>
                <w:rFonts w:ascii="Arial" w:hAnsi="Arial" w:cs="Arial"/>
                <w:sz w:val="24"/>
                <w:szCs w:val="24"/>
              </w:rPr>
              <w:t>f</w:t>
            </w:r>
            <w:r w:rsidR="32D665FE" w:rsidRPr="4D65ED4F">
              <w:rPr>
                <w:rFonts w:ascii="Arial" w:hAnsi="Arial" w:cs="Arial"/>
                <w:sz w:val="24"/>
                <w:szCs w:val="24"/>
              </w:rPr>
              <w:t xml:space="preserve">und. </w:t>
            </w:r>
          </w:p>
          <w:p w14:paraId="4FE1C4FD" w14:textId="2E2DEA85" w:rsidR="00CE28E7" w:rsidRPr="003652B9" w:rsidRDefault="2ED0BF39" w:rsidP="4D65ED4F">
            <w:pPr>
              <w:autoSpaceDE w:val="0"/>
              <w:autoSpaceDN w:val="0"/>
              <w:adjustRightInd w:val="0"/>
              <w:spacing w:before="240" w:after="240"/>
              <w:rPr>
                <w:rFonts w:ascii="Arial" w:hAnsi="Arial" w:cs="Arial"/>
                <w:sz w:val="24"/>
                <w:szCs w:val="24"/>
              </w:rPr>
            </w:pPr>
            <w:r w:rsidRPr="4D65ED4F">
              <w:rPr>
                <w:rFonts w:ascii="Arial" w:hAnsi="Arial" w:cs="Arial"/>
                <w:sz w:val="24"/>
                <w:szCs w:val="24"/>
              </w:rPr>
              <w:t xml:space="preserve">The intended impact of this work is to enhance community safety, reduce crime and anti-social behaviour, and boost the perception of safety amongst residents. Although the benefits should be felt by any and all residents, it is recognised that some members of the community may feel more vulnerable and </w:t>
            </w:r>
            <w:r w:rsidR="46CFA9C2" w:rsidRPr="4D65ED4F">
              <w:rPr>
                <w:rFonts w:ascii="Arial" w:hAnsi="Arial" w:cs="Arial"/>
                <w:sz w:val="24"/>
                <w:szCs w:val="24"/>
              </w:rPr>
              <w:t xml:space="preserve">may </w:t>
            </w:r>
            <w:r w:rsidRPr="4D65ED4F">
              <w:rPr>
                <w:rFonts w:ascii="Arial" w:hAnsi="Arial" w:cs="Arial"/>
                <w:sz w:val="24"/>
                <w:szCs w:val="24"/>
              </w:rPr>
              <w:t>therefore b</w:t>
            </w:r>
            <w:r w:rsidR="6F340463" w:rsidRPr="4D65ED4F">
              <w:rPr>
                <w:rFonts w:ascii="Arial" w:hAnsi="Arial" w:cs="Arial"/>
                <w:sz w:val="24"/>
                <w:szCs w:val="24"/>
              </w:rPr>
              <w:t>enefit</w:t>
            </w:r>
            <w:r w:rsidR="1397EF07" w:rsidRPr="4D65ED4F">
              <w:rPr>
                <w:rFonts w:ascii="Arial" w:hAnsi="Arial" w:cs="Arial"/>
                <w:sz w:val="24"/>
                <w:szCs w:val="24"/>
              </w:rPr>
              <w:t xml:space="preserve"> more from these investments. This includes women and girls who we know report feeling less safe in public areas. Individuals with other vulnerabilities, for instance </w:t>
            </w:r>
            <w:r w:rsidR="534C89EC" w:rsidRPr="4D65ED4F">
              <w:rPr>
                <w:rFonts w:ascii="Arial" w:hAnsi="Arial" w:cs="Arial"/>
                <w:sz w:val="24"/>
                <w:szCs w:val="24"/>
              </w:rPr>
              <w:t xml:space="preserve">younger or </w:t>
            </w:r>
            <w:r w:rsidR="1397EF07" w:rsidRPr="4D65ED4F">
              <w:rPr>
                <w:rFonts w:ascii="Arial" w:hAnsi="Arial" w:cs="Arial"/>
                <w:sz w:val="24"/>
                <w:szCs w:val="24"/>
              </w:rPr>
              <w:t>older residents</w:t>
            </w:r>
            <w:r w:rsidR="7DE17BC9" w:rsidRPr="4D65ED4F">
              <w:rPr>
                <w:rFonts w:ascii="Arial" w:hAnsi="Arial" w:cs="Arial"/>
                <w:sz w:val="24"/>
                <w:szCs w:val="24"/>
              </w:rPr>
              <w:t>,</w:t>
            </w:r>
            <w:r w:rsidR="1397EF07" w:rsidRPr="4D65ED4F">
              <w:rPr>
                <w:rFonts w:ascii="Arial" w:hAnsi="Arial" w:cs="Arial"/>
                <w:sz w:val="24"/>
                <w:szCs w:val="24"/>
              </w:rPr>
              <w:t xml:space="preserve"> or </w:t>
            </w:r>
            <w:r w:rsidR="2AE2BDD9" w:rsidRPr="4D65ED4F">
              <w:rPr>
                <w:rFonts w:ascii="Arial" w:hAnsi="Arial" w:cs="Arial"/>
                <w:sz w:val="24"/>
                <w:szCs w:val="24"/>
              </w:rPr>
              <w:t>those with disabilities</w:t>
            </w:r>
            <w:r w:rsidR="01A22591" w:rsidRPr="4D65ED4F">
              <w:rPr>
                <w:rFonts w:ascii="Arial" w:hAnsi="Arial" w:cs="Arial"/>
                <w:sz w:val="24"/>
                <w:szCs w:val="24"/>
              </w:rPr>
              <w:t>,</w:t>
            </w:r>
            <w:r w:rsidR="2AE2BDD9" w:rsidRPr="4D65ED4F">
              <w:rPr>
                <w:rFonts w:ascii="Arial" w:hAnsi="Arial" w:cs="Arial"/>
                <w:sz w:val="24"/>
                <w:szCs w:val="24"/>
              </w:rPr>
              <w:t xml:space="preserve"> may also benefit more.</w:t>
            </w:r>
          </w:p>
          <w:p w14:paraId="28B93FA8" w14:textId="7C488CEE" w:rsidR="00CE28E7" w:rsidRPr="003652B9" w:rsidRDefault="323B4F10" w:rsidP="4D65ED4F">
            <w:pPr>
              <w:autoSpaceDE w:val="0"/>
              <w:autoSpaceDN w:val="0"/>
              <w:adjustRightInd w:val="0"/>
              <w:spacing w:before="240" w:after="240"/>
              <w:rPr>
                <w:rFonts w:ascii="Arial" w:hAnsi="Arial" w:cs="Arial"/>
                <w:sz w:val="24"/>
                <w:szCs w:val="24"/>
              </w:rPr>
            </w:pPr>
            <w:r w:rsidRPr="4D65ED4F">
              <w:rPr>
                <w:rFonts w:ascii="Arial" w:hAnsi="Arial" w:cs="Arial"/>
                <w:sz w:val="24"/>
                <w:szCs w:val="24"/>
              </w:rPr>
              <w:t xml:space="preserve">It is intended that residents as well as businesses, visitors, employees and all other stakeholders in an area will experience benefit from these projects as crime reduces, </w:t>
            </w:r>
            <w:r w:rsidRPr="4D65ED4F">
              <w:rPr>
                <w:rFonts w:ascii="Arial" w:hAnsi="Arial" w:cs="Arial"/>
                <w:sz w:val="24"/>
                <w:szCs w:val="24"/>
              </w:rPr>
              <w:lastRenderedPageBreak/>
              <w:t>the perception of crime</w:t>
            </w:r>
            <w:r w:rsidR="00DA0620">
              <w:rPr>
                <w:rFonts w:ascii="Arial" w:hAnsi="Arial" w:cs="Arial"/>
                <w:sz w:val="24"/>
                <w:szCs w:val="24"/>
              </w:rPr>
              <w:t xml:space="preserve"> </w:t>
            </w:r>
            <w:r w:rsidRPr="4D65ED4F">
              <w:rPr>
                <w:rFonts w:ascii="Arial" w:hAnsi="Arial" w:cs="Arial"/>
                <w:sz w:val="24"/>
                <w:szCs w:val="24"/>
              </w:rPr>
              <w:t>/</w:t>
            </w:r>
            <w:r w:rsidR="00DA0620">
              <w:rPr>
                <w:rFonts w:ascii="Arial" w:hAnsi="Arial" w:cs="Arial"/>
                <w:sz w:val="24"/>
                <w:szCs w:val="24"/>
              </w:rPr>
              <w:t xml:space="preserve"> </w:t>
            </w:r>
            <w:r w:rsidRPr="4D65ED4F">
              <w:rPr>
                <w:rFonts w:ascii="Arial" w:hAnsi="Arial" w:cs="Arial"/>
                <w:sz w:val="24"/>
                <w:szCs w:val="24"/>
              </w:rPr>
              <w:t>ASB improves, and people have more confidence in public safety.</w:t>
            </w:r>
          </w:p>
        </w:tc>
      </w:tr>
      <w:tr w:rsidR="00E72A64" w:rsidRPr="003652B9" w14:paraId="2DC6821E" w14:textId="77777777" w:rsidTr="079684F3">
        <w:tc>
          <w:tcPr>
            <w:tcW w:w="9292" w:type="dxa"/>
            <w:gridSpan w:val="2"/>
            <w:tcBorders>
              <w:left w:val="single" w:sz="4" w:space="0" w:color="auto"/>
              <w:bottom w:val="single" w:sz="4" w:space="0" w:color="auto"/>
            </w:tcBorders>
            <w:shd w:val="clear" w:color="auto" w:fill="D9D9D9" w:themeFill="background1" w:themeFillShade="D9"/>
          </w:tcPr>
          <w:p w14:paraId="557CBF5F" w14:textId="77777777"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lastRenderedPageBreak/>
              <w:t>What relevant quantitative data has been considered?</w:t>
            </w:r>
          </w:p>
        </w:tc>
      </w:tr>
      <w:tr w:rsidR="00E72A64" w:rsidRPr="003652B9" w14:paraId="0095ABC0" w14:textId="77777777" w:rsidTr="079684F3">
        <w:tc>
          <w:tcPr>
            <w:tcW w:w="9292" w:type="dxa"/>
            <w:gridSpan w:val="2"/>
            <w:tcBorders>
              <w:left w:val="single" w:sz="4" w:space="0" w:color="auto"/>
              <w:bottom w:val="single" w:sz="4" w:space="0" w:color="auto"/>
            </w:tcBorders>
            <w:shd w:val="clear" w:color="auto" w:fill="auto"/>
          </w:tcPr>
          <w:p w14:paraId="775FA95C" w14:textId="164857AC" w:rsidR="00BA143A" w:rsidRPr="008A0E81" w:rsidRDefault="04D89A97" w:rsidP="4D65ED4F">
            <w:pPr>
              <w:shd w:val="clear" w:color="auto" w:fill="FFFFFF" w:themeFill="background1"/>
              <w:spacing w:after="150"/>
              <w:jc w:val="both"/>
              <w:rPr>
                <w:rFonts w:ascii="Arial" w:hAnsi="Arial" w:cs="Arial"/>
                <w:i/>
                <w:iCs/>
                <w:sz w:val="24"/>
                <w:szCs w:val="24"/>
              </w:rPr>
            </w:pPr>
            <w:r w:rsidRPr="4D65ED4F">
              <w:rPr>
                <w:rFonts w:ascii="Arial" w:hAnsi="Arial" w:cs="Arial"/>
                <w:sz w:val="24"/>
                <w:szCs w:val="24"/>
              </w:rPr>
              <w:t>Through the application process, CSPs are required to provide</w:t>
            </w:r>
            <w:r w:rsidR="0B24CC6C" w:rsidRPr="4D65ED4F">
              <w:rPr>
                <w:rFonts w:ascii="Arial" w:hAnsi="Arial" w:cs="Arial"/>
                <w:sz w:val="24"/>
                <w:szCs w:val="24"/>
              </w:rPr>
              <w:t xml:space="preserve"> data and evidence about why investment should be made in the identified proposals. Specifically, the criteria ask that CPSs provide</w:t>
            </w:r>
            <w:r w:rsidR="58F82D36" w:rsidRPr="4D65ED4F">
              <w:rPr>
                <w:rFonts w:ascii="Arial" w:hAnsi="Arial" w:cs="Arial"/>
                <w:sz w:val="24"/>
                <w:szCs w:val="24"/>
              </w:rPr>
              <w:t xml:space="preserve"> </w:t>
            </w:r>
            <w:r w:rsidR="7A9BB1D6" w:rsidRPr="4D65ED4F">
              <w:rPr>
                <w:rFonts w:ascii="Arial" w:hAnsi="Arial" w:cs="Arial"/>
                <w:sz w:val="24"/>
                <w:szCs w:val="24"/>
              </w:rPr>
              <w:t>“</w:t>
            </w:r>
            <w:r w:rsidR="7A9BB1D6" w:rsidRPr="4D65ED4F">
              <w:rPr>
                <w:rFonts w:ascii="Arial" w:hAnsi="Arial" w:cs="Arial"/>
                <w:i/>
                <w:iCs/>
                <w:sz w:val="24"/>
                <w:szCs w:val="24"/>
              </w:rPr>
              <w:t>a</w:t>
            </w:r>
            <w:r w:rsidR="58F82D36" w:rsidRPr="4D65ED4F">
              <w:rPr>
                <w:rFonts w:ascii="Arial" w:hAnsi="Arial" w:cs="Arial"/>
                <w:i/>
                <w:iCs/>
                <w:sz w:val="24"/>
                <w:szCs w:val="24"/>
              </w:rPr>
              <w:t xml:space="preserve">nalysis of the factors driving the target crimes and issues in your target area and an overall hypothesis about the problem (we particularly welcome explanation of the data sources used, as well as the time period they cover). This could include: </w:t>
            </w:r>
          </w:p>
          <w:p w14:paraId="0E182838" w14:textId="78E2AE79" w:rsidR="00BA143A" w:rsidRPr="008A0E81" w:rsidRDefault="58F82D36" w:rsidP="4D65ED4F">
            <w:pPr>
              <w:pStyle w:val="ListParagraph"/>
              <w:numPr>
                <w:ilvl w:val="0"/>
                <w:numId w:val="5"/>
              </w:numPr>
              <w:shd w:val="clear" w:color="auto" w:fill="FFFFFF" w:themeFill="background1"/>
              <w:spacing w:after="150"/>
              <w:jc w:val="both"/>
              <w:rPr>
                <w:rFonts w:ascii="Arial" w:hAnsi="Arial" w:cs="Arial"/>
                <w:i/>
                <w:iCs/>
                <w:szCs w:val="24"/>
              </w:rPr>
            </w:pPr>
            <w:r w:rsidRPr="4D65ED4F">
              <w:rPr>
                <w:rFonts w:ascii="Arial" w:hAnsi="Arial" w:cs="Arial"/>
                <w:i/>
                <w:iCs/>
                <w:szCs w:val="24"/>
              </w:rPr>
              <w:t>Analysis of previous incidents – including information about victims, offenders, method of offence, locations and times of offence.</w:t>
            </w:r>
          </w:p>
          <w:p w14:paraId="773332DB" w14:textId="0AF72500" w:rsidR="00BA143A" w:rsidRPr="008A0E81" w:rsidRDefault="58F82D36" w:rsidP="4D65ED4F">
            <w:pPr>
              <w:pStyle w:val="ListParagraph"/>
              <w:numPr>
                <w:ilvl w:val="0"/>
                <w:numId w:val="4"/>
              </w:numPr>
              <w:shd w:val="clear" w:color="auto" w:fill="FFFFFF" w:themeFill="background1"/>
              <w:spacing w:after="150"/>
              <w:jc w:val="both"/>
              <w:rPr>
                <w:rFonts w:ascii="Arial" w:hAnsi="Arial" w:cs="Arial"/>
                <w:i/>
                <w:iCs/>
                <w:szCs w:val="24"/>
              </w:rPr>
            </w:pPr>
            <w:r w:rsidRPr="4D65ED4F">
              <w:rPr>
                <w:rFonts w:ascii="Arial" w:hAnsi="Arial" w:cs="Arial"/>
                <w:i/>
                <w:iCs/>
                <w:szCs w:val="24"/>
              </w:rPr>
              <w:t>Wider demographic information about the area, including markers of deprivation and risk factors associated with ASB if relevant.</w:t>
            </w:r>
          </w:p>
          <w:p w14:paraId="2E637F02" w14:textId="69DBE0B0" w:rsidR="00BA143A" w:rsidRPr="008A0E81" w:rsidRDefault="58F82D36" w:rsidP="4D65ED4F">
            <w:pPr>
              <w:pStyle w:val="ListParagraph"/>
              <w:numPr>
                <w:ilvl w:val="0"/>
                <w:numId w:val="3"/>
              </w:numPr>
              <w:shd w:val="clear" w:color="auto" w:fill="FFFFFF" w:themeFill="background1"/>
              <w:spacing w:after="150"/>
              <w:jc w:val="both"/>
              <w:rPr>
                <w:rFonts w:ascii="Arial" w:hAnsi="Arial" w:cs="Arial"/>
                <w:i/>
                <w:iCs/>
                <w:szCs w:val="24"/>
              </w:rPr>
            </w:pPr>
            <w:r w:rsidRPr="4D65ED4F">
              <w:rPr>
                <w:rFonts w:ascii="Arial" w:hAnsi="Arial" w:cs="Arial"/>
                <w:i/>
                <w:iCs/>
                <w:szCs w:val="24"/>
              </w:rPr>
              <w:t>Information gained from consultation with stakeholders about the causes of the problems in the target area.</w:t>
            </w:r>
          </w:p>
          <w:p w14:paraId="107F2412" w14:textId="15ABBD64" w:rsidR="00BA143A" w:rsidRPr="008A0E81" w:rsidRDefault="58F82D36" w:rsidP="4D65ED4F">
            <w:pPr>
              <w:pStyle w:val="ListParagraph"/>
              <w:numPr>
                <w:ilvl w:val="0"/>
                <w:numId w:val="2"/>
              </w:numPr>
              <w:shd w:val="clear" w:color="auto" w:fill="FFFFFF" w:themeFill="background1"/>
              <w:spacing w:after="150"/>
              <w:jc w:val="both"/>
              <w:rPr>
                <w:rFonts w:ascii="Arial" w:hAnsi="Arial" w:cs="Arial"/>
                <w:i/>
                <w:iCs/>
                <w:szCs w:val="24"/>
              </w:rPr>
            </w:pPr>
            <w:r w:rsidRPr="4D65ED4F">
              <w:rPr>
                <w:rFonts w:ascii="Arial" w:hAnsi="Arial" w:cs="Arial"/>
                <w:i/>
                <w:iCs/>
                <w:szCs w:val="24"/>
              </w:rPr>
              <w:t>Whether your area has previously attempted to tackle this issue, and if so, some insight into how this has impacted your analysis. For example, any use of the powers under the 2014 Anti-Social Behaviour, Crime and Policing Act.</w:t>
            </w:r>
          </w:p>
          <w:p w14:paraId="55874753" w14:textId="398E140D" w:rsidR="00BA143A" w:rsidRPr="00C362EE" w:rsidRDefault="58F82D36" w:rsidP="4D65ED4F">
            <w:pPr>
              <w:pStyle w:val="ListParagraph"/>
              <w:numPr>
                <w:ilvl w:val="0"/>
                <w:numId w:val="1"/>
              </w:numPr>
              <w:shd w:val="clear" w:color="auto" w:fill="FFFFFF" w:themeFill="background1"/>
              <w:spacing w:after="150"/>
              <w:jc w:val="both"/>
              <w:rPr>
                <w:rFonts w:ascii="Arial" w:hAnsi="Arial" w:cs="Arial"/>
                <w:i/>
                <w:iCs/>
                <w:szCs w:val="24"/>
              </w:rPr>
            </w:pPr>
            <w:r w:rsidRPr="4D65ED4F">
              <w:rPr>
                <w:rFonts w:ascii="Arial" w:hAnsi="Arial" w:cs="Arial"/>
                <w:i/>
                <w:iCs/>
                <w:szCs w:val="24"/>
              </w:rPr>
              <w:t>You are also encouraged to undertake an Environmental Visual Audit (EVA) to assist with your response to this part of the question. To enable assessors to easily understand your local area it is important that the key information from your EVA is included in your main answer. You may attach your completed EVA to your application; however, assessors should not need to refer to this to understand your bid. The EVA will not be marked.</w:t>
            </w:r>
          </w:p>
          <w:p w14:paraId="316AA7C8" w14:textId="23C2EE7C" w:rsidR="00BA143A" w:rsidRPr="008A0E81" w:rsidRDefault="024E528A" w:rsidP="4D65ED4F">
            <w:pPr>
              <w:shd w:val="clear" w:color="auto" w:fill="FFFFFF" w:themeFill="background1"/>
              <w:spacing w:after="150"/>
              <w:jc w:val="both"/>
              <w:rPr>
                <w:rFonts w:ascii="Arial" w:hAnsi="Arial" w:cs="Arial"/>
                <w:sz w:val="24"/>
                <w:szCs w:val="24"/>
              </w:rPr>
            </w:pPr>
            <w:r w:rsidRPr="4D65ED4F">
              <w:rPr>
                <w:rFonts w:ascii="Arial" w:hAnsi="Arial" w:cs="Arial"/>
                <w:sz w:val="24"/>
                <w:szCs w:val="24"/>
              </w:rPr>
              <w:t>As an example of some of the quantitative data, the below was received as part of the bid from Castle Point for its C</w:t>
            </w:r>
            <w:r w:rsidR="57351865" w:rsidRPr="4D65ED4F">
              <w:rPr>
                <w:rFonts w:ascii="Arial" w:hAnsi="Arial" w:cs="Arial"/>
                <w:sz w:val="24"/>
                <w:szCs w:val="24"/>
              </w:rPr>
              <w:t>CTV bid</w:t>
            </w:r>
            <w:r w:rsidR="00C362EE">
              <w:rPr>
                <w:rFonts w:ascii="Arial" w:hAnsi="Arial" w:cs="Arial"/>
                <w:sz w:val="24"/>
                <w:szCs w:val="24"/>
              </w:rPr>
              <w:t>:</w:t>
            </w:r>
          </w:p>
          <w:p w14:paraId="606021BE" w14:textId="33399B8B" w:rsidR="00BA143A" w:rsidRPr="00C362EE" w:rsidRDefault="57351865" w:rsidP="4D65ED4F">
            <w:pPr>
              <w:spacing w:after="150"/>
              <w:rPr>
                <w:rFonts w:ascii="Arial" w:eastAsia="Arial" w:hAnsi="Arial" w:cs="Arial"/>
                <w:i/>
                <w:iCs/>
                <w:color w:val="000000" w:themeColor="text1"/>
                <w:sz w:val="24"/>
                <w:szCs w:val="24"/>
              </w:rPr>
            </w:pPr>
            <w:r w:rsidRPr="00C362EE">
              <w:rPr>
                <w:rFonts w:ascii="Arial" w:eastAsia="Arial" w:hAnsi="Arial" w:cs="Arial"/>
                <w:i/>
                <w:iCs/>
                <w:color w:val="000000" w:themeColor="text1"/>
                <w:sz w:val="24"/>
                <w:szCs w:val="24"/>
              </w:rPr>
              <w:t xml:space="preserve">The below table shows crime statistics from February 2023 to January 2024 compared to the previous year. Whilst most crime types show a reduction it is essential to recognise crime may still be persistent, but under reported.  </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323"/>
              <w:gridCol w:w="1335"/>
              <w:gridCol w:w="1335"/>
              <w:gridCol w:w="1319"/>
              <w:gridCol w:w="1319"/>
            </w:tblGrid>
            <w:tr w:rsidR="4D65ED4F" w14:paraId="342136AC"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8333FB4" w14:textId="61026F27"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b/>
                      <w:bCs/>
                      <w:i/>
                      <w:iCs/>
                      <w:color w:val="000000" w:themeColor="text1"/>
                      <w:sz w:val="22"/>
                      <w:szCs w:val="22"/>
                    </w:rPr>
                    <w:t> </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B2EF87" w14:textId="3BC68672" w:rsidR="4D65ED4F" w:rsidRDefault="4D65ED4F" w:rsidP="4D65ED4F">
                  <w:pPr>
                    <w:jc w:val="center"/>
                    <w:rPr>
                      <w:rFonts w:ascii="Aptos Narrow" w:eastAsia="Aptos Narrow" w:hAnsi="Aptos Narrow" w:cs="Aptos Narrow"/>
                      <w:i/>
                      <w:iCs/>
                      <w:color w:val="000000" w:themeColor="text1"/>
                      <w:sz w:val="22"/>
                      <w:szCs w:val="22"/>
                    </w:rPr>
                  </w:pPr>
                  <w:r w:rsidRPr="4D65ED4F">
                    <w:rPr>
                      <w:rFonts w:ascii="Aptos Narrow" w:eastAsia="Aptos Narrow" w:hAnsi="Aptos Narrow" w:cs="Aptos Narrow"/>
                      <w:b/>
                      <w:bCs/>
                      <w:i/>
                      <w:iCs/>
                      <w:color w:val="000000" w:themeColor="text1"/>
                      <w:sz w:val="22"/>
                      <w:szCs w:val="22"/>
                    </w:rPr>
                    <w:t>2022/23</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DD142B" w14:textId="07EE4235" w:rsidR="4D65ED4F" w:rsidRDefault="4D65ED4F" w:rsidP="4D65ED4F">
                  <w:pPr>
                    <w:jc w:val="center"/>
                    <w:rPr>
                      <w:rFonts w:ascii="Aptos Narrow" w:eastAsia="Aptos Narrow" w:hAnsi="Aptos Narrow" w:cs="Aptos Narrow"/>
                      <w:i/>
                      <w:iCs/>
                      <w:color w:val="000000" w:themeColor="text1"/>
                      <w:sz w:val="22"/>
                      <w:szCs w:val="22"/>
                    </w:rPr>
                  </w:pPr>
                  <w:r w:rsidRPr="4D65ED4F">
                    <w:rPr>
                      <w:rFonts w:ascii="Aptos Narrow" w:eastAsia="Aptos Narrow" w:hAnsi="Aptos Narrow" w:cs="Aptos Narrow"/>
                      <w:b/>
                      <w:bCs/>
                      <w:i/>
                      <w:iCs/>
                      <w:color w:val="000000" w:themeColor="text1"/>
                      <w:sz w:val="22"/>
                      <w:szCs w:val="22"/>
                    </w:rPr>
                    <w:t>2023/24</w:t>
                  </w:r>
                </w:p>
              </w:tc>
              <w:tc>
                <w:tcPr>
                  <w:tcW w:w="131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A1CFC5" w14:textId="3456A384" w:rsidR="4D65ED4F" w:rsidRDefault="4D65ED4F" w:rsidP="4D65ED4F">
                  <w:pPr>
                    <w:jc w:val="center"/>
                    <w:rPr>
                      <w:rFonts w:ascii="Aptos Narrow" w:eastAsia="Aptos Narrow" w:hAnsi="Aptos Narrow" w:cs="Aptos Narrow"/>
                      <w:i/>
                      <w:iCs/>
                      <w:color w:val="000000" w:themeColor="text1"/>
                      <w:sz w:val="22"/>
                      <w:szCs w:val="22"/>
                    </w:rPr>
                  </w:pPr>
                  <w:r w:rsidRPr="4D65ED4F">
                    <w:rPr>
                      <w:rFonts w:ascii="Aptos Narrow" w:eastAsia="Aptos Narrow" w:hAnsi="Aptos Narrow" w:cs="Aptos Narrow"/>
                      <w:b/>
                      <w:bCs/>
                      <w:i/>
                      <w:iCs/>
                      <w:color w:val="000000" w:themeColor="text1"/>
                      <w:sz w:val="22"/>
                      <w:szCs w:val="22"/>
                    </w:rPr>
                    <w:t>Diff No</w:t>
                  </w:r>
                </w:p>
              </w:tc>
              <w:tc>
                <w:tcPr>
                  <w:tcW w:w="131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44E301" w14:textId="6E200B56" w:rsidR="4D65ED4F" w:rsidRDefault="4D65ED4F" w:rsidP="4D65ED4F">
                  <w:pPr>
                    <w:jc w:val="center"/>
                    <w:rPr>
                      <w:rFonts w:ascii="Aptos Narrow" w:eastAsia="Aptos Narrow" w:hAnsi="Aptos Narrow" w:cs="Aptos Narrow"/>
                      <w:i/>
                      <w:iCs/>
                      <w:color w:val="000000" w:themeColor="text1"/>
                      <w:sz w:val="22"/>
                      <w:szCs w:val="22"/>
                    </w:rPr>
                  </w:pPr>
                  <w:r w:rsidRPr="4D65ED4F">
                    <w:rPr>
                      <w:rFonts w:ascii="Aptos Narrow" w:eastAsia="Aptos Narrow" w:hAnsi="Aptos Narrow" w:cs="Aptos Narrow"/>
                      <w:b/>
                      <w:bCs/>
                      <w:i/>
                      <w:iCs/>
                      <w:color w:val="000000" w:themeColor="text1"/>
                      <w:sz w:val="22"/>
                      <w:szCs w:val="22"/>
                    </w:rPr>
                    <w:t>Diff %</w:t>
                  </w:r>
                </w:p>
              </w:tc>
            </w:tr>
            <w:tr w:rsidR="4D65ED4F" w14:paraId="37AB78A5"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12A8E8F" w14:textId="1E3D2B41"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Anti-social behaviour</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F836A65" w14:textId="44529FB9"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1011</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A54CA85" w14:textId="0421991D"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660</w:t>
                  </w:r>
                </w:p>
              </w:tc>
              <w:tc>
                <w:tcPr>
                  <w:tcW w:w="1319" w:type="dxa"/>
                  <w:tcBorders>
                    <w:top w:val="single" w:sz="6" w:space="0" w:color="auto"/>
                    <w:left w:val="single" w:sz="6" w:space="0" w:color="auto"/>
                    <w:bottom w:val="single" w:sz="6" w:space="0" w:color="auto"/>
                    <w:right w:val="single" w:sz="6" w:space="0" w:color="auto"/>
                  </w:tcBorders>
                  <w:shd w:val="clear" w:color="auto" w:fill="91CB7D"/>
                  <w:tcMar>
                    <w:left w:w="105" w:type="dxa"/>
                    <w:right w:w="105" w:type="dxa"/>
                  </w:tcMar>
                  <w:vAlign w:val="bottom"/>
                </w:tcPr>
                <w:p w14:paraId="301EEA04" w14:textId="5EC5F44B"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-351</w:t>
                  </w:r>
                </w:p>
              </w:tc>
              <w:tc>
                <w:tcPr>
                  <w:tcW w:w="1319" w:type="dxa"/>
                  <w:tcBorders>
                    <w:top w:val="single" w:sz="6" w:space="0" w:color="auto"/>
                    <w:left w:val="single" w:sz="6" w:space="0" w:color="auto"/>
                    <w:bottom w:val="single" w:sz="6" w:space="0" w:color="auto"/>
                    <w:right w:val="single" w:sz="6" w:space="0" w:color="auto"/>
                  </w:tcBorders>
                  <w:shd w:val="clear" w:color="auto" w:fill="6CC07B"/>
                  <w:tcMar>
                    <w:left w:w="105" w:type="dxa"/>
                    <w:right w:w="105" w:type="dxa"/>
                  </w:tcMar>
                  <w:vAlign w:val="bottom"/>
                </w:tcPr>
                <w:p w14:paraId="32ED1D29" w14:textId="583D627A"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-34.7%</w:t>
                  </w:r>
                </w:p>
              </w:tc>
            </w:tr>
            <w:tr w:rsidR="4D65ED4F" w14:paraId="0967B016"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BD2C2E8" w14:textId="407F4381"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Bicycle theft</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255B502" w14:textId="516D3A6E"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60</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9749D59" w14:textId="0558C8C2"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38</w:t>
                  </w:r>
                </w:p>
              </w:tc>
              <w:tc>
                <w:tcPr>
                  <w:tcW w:w="1319" w:type="dxa"/>
                  <w:tcBorders>
                    <w:top w:val="single" w:sz="6" w:space="0" w:color="auto"/>
                    <w:left w:val="single" w:sz="6" w:space="0" w:color="auto"/>
                    <w:bottom w:val="single" w:sz="6" w:space="0" w:color="auto"/>
                    <w:right w:val="single" w:sz="6" w:space="0" w:color="auto"/>
                  </w:tcBorders>
                  <w:shd w:val="clear" w:color="auto" w:fill="FBE983"/>
                  <w:tcMar>
                    <w:left w:w="105" w:type="dxa"/>
                    <w:right w:w="105" w:type="dxa"/>
                  </w:tcMar>
                  <w:vAlign w:val="bottom"/>
                </w:tcPr>
                <w:p w14:paraId="12F00911" w14:textId="4702EB4D"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-22</w:t>
                  </w:r>
                </w:p>
              </w:tc>
              <w:tc>
                <w:tcPr>
                  <w:tcW w:w="1319" w:type="dxa"/>
                  <w:tcBorders>
                    <w:top w:val="single" w:sz="6" w:space="0" w:color="auto"/>
                    <w:left w:val="single" w:sz="6" w:space="0" w:color="auto"/>
                    <w:bottom w:val="single" w:sz="6" w:space="0" w:color="auto"/>
                    <w:right w:val="single" w:sz="6" w:space="0" w:color="auto"/>
                  </w:tcBorders>
                  <w:shd w:val="clear" w:color="auto" w:fill="63BE7B"/>
                  <w:tcMar>
                    <w:left w:w="105" w:type="dxa"/>
                    <w:right w:w="105" w:type="dxa"/>
                  </w:tcMar>
                  <w:vAlign w:val="bottom"/>
                </w:tcPr>
                <w:p w14:paraId="7E84D51C" w14:textId="53769BC2"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-36.7%</w:t>
                  </w:r>
                </w:p>
              </w:tc>
            </w:tr>
            <w:tr w:rsidR="4D65ED4F" w14:paraId="4EF440E0"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63A9B92" w14:textId="2CFEC011"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Burglary</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ECDCA93" w14:textId="548A0D3F"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218</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F9B755E" w14:textId="0C84817B"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238</w:t>
                  </w:r>
                </w:p>
              </w:tc>
              <w:tc>
                <w:tcPr>
                  <w:tcW w:w="1319" w:type="dxa"/>
                  <w:tcBorders>
                    <w:top w:val="single" w:sz="6" w:space="0" w:color="auto"/>
                    <w:left w:val="single" w:sz="6" w:space="0" w:color="auto"/>
                    <w:bottom w:val="single" w:sz="6" w:space="0" w:color="auto"/>
                    <w:right w:val="single" w:sz="6" w:space="0" w:color="auto"/>
                  </w:tcBorders>
                  <w:shd w:val="clear" w:color="auto" w:fill="FDC27D"/>
                  <w:tcMar>
                    <w:left w:w="105" w:type="dxa"/>
                    <w:right w:w="105" w:type="dxa"/>
                  </w:tcMar>
                  <w:vAlign w:val="bottom"/>
                </w:tcPr>
                <w:p w14:paraId="4EA220D2" w14:textId="64B067F7"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20</w:t>
                  </w:r>
                </w:p>
              </w:tc>
              <w:tc>
                <w:tcPr>
                  <w:tcW w:w="1319" w:type="dxa"/>
                  <w:tcBorders>
                    <w:top w:val="single" w:sz="6" w:space="0" w:color="auto"/>
                    <w:left w:val="single" w:sz="6" w:space="0" w:color="auto"/>
                    <w:bottom w:val="single" w:sz="6" w:space="0" w:color="auto"/>
                    <w:right w:val="single" w:sz="6" w:space="0" w:color="auto"/>
                  </w:tcBorders>
                  <w:shd w:val="clear" w:color="auto" w:fill="FED07F"/>
                  <w:tcMar>
                    <w:left w:w="105" w:type="dxa"/>
                    <w:right w:w="105" w:type="dxa"/>
                  </w:tcMar>
                  <w:vAlign w:val="bottom"/>
                </w:tcPr>
                <w:p w14:paraId="61823B1F" w14:textId="6A11471C"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9.2%</w:t>
                  </w:r>
                </w:p>
              </w:tc>
            </w:tr>
            <w:tr w:rsidR="4D65ED4F" w14:paraId="51D6382C"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0DA3432" w14:textId="4BD749A7"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Criminal damage and arson</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8173C7" w14:textId="2F56317D"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600</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0CEF3F" w14:textId="2C7963E8"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586</w:t>
                  </w:r>
                </w:p>
              </w:tc>
              <w:tc>
                <w:tcPr>
                  <w:tcW w:w="1319" w:type="dxa"/>
                  <w:tcBorders>
                    <w:top w:val="single" w:sz="6" w:space="0" w:color="auto"/>
                    <w:left w:val="single" w:sz="6" w:space="0" w:color="auto"/>
                    <w:bottom w:val="single" w:sz="6" w:space="0" w:color="auto"/>
                    <w:right w:val="single" w:sz="6" w:space="0" w:color="auto"/>
                  </w:tcBorders>
                  <w:shd w:val="clear" w:color="auto" w:fill="FDEA83"/>
                  <w:tcMar>
                    <w:left w:w="105" w:type="dxa"/>
                    <w:right w:w="105" w:type="dxa"/>
                  </w:tcMar>
                  <w:vAlign w:val="bottom"/>
                </w:tcPr>
                <w:p w14:paraId="44DC8F70" w14:textId="0F07E27A"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-14</w:t>
                  </w:r>
                </w:p>
              </w:tc>
              <w:tc>
                <w:tcPr>
                  <w:tcW w:w="1319" w:type="dxa"/>
                  <w:tcBorders>
                    <w:top w:val="single" w:sz="6" w:space="0" w:color="auto"/>
                    <w:left w:val="single" w:sz="6" w:space="0" w:color="auto"/>
                    <w:bottom w:val="single" w:sz="6" w:space="0" w:color="auto"/>
                    <w:right w:val="single" w:sz="6" w:space="0" w:color="auto"/>
                  </w:tcBorders>
                  <w:shd w:val="clear" w:color="auto" w:fill="FFE984"/>
                  <w:tcMar>
                    <w:left w:w="105" w:type="dxa"/>
                    <w:right w:w="105" w:type="dxa"/>
                  </w:tcMar>
                  <w:vAlign w:val="bottom"/>
                </w:tcPr>
                <w:p w14:paraId="6320E2FC" w14:textId="02966B8C"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-2.3%</w:t>
                  </w:r>
                </w:p>
              </w:tc>
            </w:tr>
            <w:tr w:rsidR="4D65ED4F" w14:paraId="147EBE17"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4BBF998" w14:textId="40429AAC"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Drugs</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2F193BC" w14:textId="238600D3"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195</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5FF6DC1" w14:textId="144F0E5B"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163</w:t>
                  </w:r>
                </w:p>
              </w:tc>
              <w:tc>
                <w:tcPr>
                  <w:tcW w:w="1319" w:type="dxa"/>
                  <w:tcBorders>
                    <w:top w:val="single" w:sz="6" w:space="0" w:color="auto"/>
                    <w:left w:val="single" w:sz="6" w:space="0" w:color="auto"/>
                    <w:bottom w:val="single" w:sz="6" w:space="0" w:color="auto"/>
                    <w:right w:val="single" w:sz="6" w:space="0" w:color="auto"/>
                  </w:tcBorders>
                  <w:shd w:val="clear" w:color="auto" w:fill="F7E883"/>
                  <w:tcMar>
                    <w:left w:w="105" w:type="dxa"/>
                    <w:right w:w="105" w:type="dxa"/>
                  </w:tcMar>
                  <w:vAlign w:val="bottom"/>
                </w:tcPr>
                <w:p w14:paraId="6E44A04E" w14:textId="27A2D95A"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-32</w:t>
                  </w:r>
                </w:p>
              </w:tc>
              <w:tc>
                <w:tcPr>
                  <w:tcW w:w="1319" w:type="dxa"/>
                  <w:tcBorders>
                    <w:top w:val="single" w:sz="6" w:space="0" w:color="auto"/>
                    <w:left w:val="single" w:sz="6" w:space="0" w:color="auto"/>
                    <w:bottom w:val="single" w:sz="6" w:space="0" w:color="auto"/>
                    <w:right w:val="single" w:sz="6" w:space="0" w:color="auto"/>
                  </w:tcBorders>
                  <w:shd w:val="clear" w:color="auto" w:fill="C2D980"/>
                  <w:tcMar>
                    <w:left w:w="105" w:type="dxa"/>
                    <w:right w:w="105" w:type="dxa"/>
                  </w:tcMar>
                  <w:vAlign w:val="bottom"/>
                </w:tcPr>
                <w:p w14:paraId="667BDF34" w14:textId="6CF819A3"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-16.4%</w:t>
                  </w:r>
                </w:p>
              </w:tc>
            </w:tr>
            <w:tr w:rsidR="4D65ED4F" w14:paraId="10B34BAB"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96A9BB5" w14:textId="689B4FBC"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Other crime</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A4F7F0B" w14:textId="757B44EB"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154</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CAA4E3D" w14:textId="24857B78"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178</w:t>
                  </w:r>
                </w:p>
              </w:tc>
              <w:tc>
                <w:tcPr>
                  <w:tcW w:w="1319" w:type="dxa"/>
                  <w:tcBorders>
                    <w:top w:val="single" w:sz="6" w:space="0" w:color="auto"/>
                    <w:left w:val="single" w:sz="6" w:space="0" w:color="auto"/>
                    <w:bottom w:val="single" w:sz="6" w:space="0" w:color="auto"/>
                    <w:right w:val="single" w:sz="6" w:space="0" w:color="auto"/>
                  </w:tcBorders>
                  <w:shd w:val="clear" w:color="auto" w:fill="FDBD7C"/>
                  <w:tcMar>
                    <w:left w:w="105" w:type="dxa"/>
                    <w:right w:w="105" w:type="dxa"/>
                  </w:tcMar>
                  <w:vAlign w:val="bottom"/>
                </w:tcPr>
                <w:p w14:paraId="620B3781" w14:textId="55E98EDF"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24</w:t>
                  </w:r>
                </w:p>
              </w:tc>
              <w:tc>
                <w:tcPr>
                  <w:tcW w:w="1319" w:type="dxa"/>
                  <w:tcBorders>
                    <w:top w:val="single" w:sz="6" w:space="0" w:color="auto"/>
                    <w:left w:val="single" w:sz="6" w:space="0" w:color="auto"/>
                    <w:bottom w:val="single" w:sz="6" w:space="0" w:color="auto"/>
                    <w:right w:val="single" w:sz="6" w:space="0" w:color="auto"/>
                  </w:tcBorders>
                  <w:shd w:val="clear" w:color="auto" w:fill="FDC37D"/>
                  <w:tcMar>
                    <w:left w:w="105" w:type="dxa"/>
                    <w:right w:w="105" w:type="dxa"/>
                  </w:tcMar>
                  <w:vAlign w:val="bottom"/>
                </w:tcPr>
                <w:p w14:paraId="56A0EBCC" w14:textId="5AAABA57"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15.6%</w:t>
                  </w:r>
                </w:p>
              </w:tc>
            </w:tr>
            <w:tr w:rsidR="4D65ED4F" w14:paraId="154E8F23"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417A68F" w14:textId="41A436BF"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Other theft</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8144C9B" w14:textId="20EFAC09"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453</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9E281DB" w14:textId="44C6908D"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432</w:t>
                  </w:r>
                </w:p>
              </w:tc>
              <w:tc>
                <w:tcPr>
                  <w:tcW w:w="1319" w:type="dxa"/>
                  <w:tcBorders>
                    <w:top w:val="single" w:sz="6" w:space="0" w:color="auto"/>
                    <w:left w:val="single" w:sz="6" w:space="0" w:color="auto"/>
                    <w:bottom w:val="single" w:sz="6" w:space="0" w:color="auto"/>
                    <w:right w:val="single" w:sz="6" w:space="0" w:color="auto"/>
                  </w:tcBorders>
                  <w:shd w:val="clear" w:color="auto" w:fill="FBE983"/>
                  <w:tcMar>
                    <w:left w:w="105" w:type="dxa"/>
                    <w:right w:w="105" w:type="dxa"/>
                  </w:tcMar>
                  <w:vAlign w:val="bottom"/>
                </w:tcPr>
                <w:p w14:paraId="2869AD87" w14:textId="0D5DEA59"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-21</w:t>
                  </w:r>
                </w:p>
              </w:tc>
              <w:tc>
                <w:tcPr>
                  <w:tcW w:w="1319" w:type="dxa"/>
                  <w:tcBorders>
                    <w:top w:val="single" w:sz="6" w:space="0" w:color="auto"/>
                    <w:left w:val="single" w:sz="6" w:space="0" w:color="auto"/>
                    <w:bottom w:val="single" w:sz="6" w:space="0" w:color="auto"/>
                    <w:right w:val="single" w:sz="6" w:space="0" w:color="auto"/>
                  </w:tcBorders>
                  <w:shd w:val="clear" w:color="auto" w:fill="F9E983"/>
                  <w:tcMar>
                    <w:left w:w="105" w:type="dxa"/>
                    <w:right w:w="105" w:type="dxa"/>
                  </w:tcMar>
                  <w:vAlign w:val="bottom"/>
                </w:tcPr>
                <w:p w14:paraId="57EA3497" w14:textId="00F5A641"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-4.6%</w:t>
                  </w:r>
                </w:p>
              </w:tc>
            </w:tr>
            <w:tr w:rsidR="4D65ED4F" w14:paraId="40B03C8B"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5891771" w14:textId="29C0A7C9"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Possession of weapons</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F0E506A" w14:textId="1CDAA57A"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57</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14D1840" w14:textId="23E21127"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62</w:t>
                  </w:r>
                </w:p>
              </w:tc>
              <w:tc>
                <w:tcPr>
                  <w:tcW w:w="1319" w:type="dxa"/>
                  <w:tcBorders>
                    <w:top w:val="single" w:sz="6" w:space="0" w:color="auto"/>
                    <w:left w:val="single" w:sz="6" w:space="0" w:color="auto"/>
                    <w:bottom w:val="single" w:sz="6" w:space="0" w:color="auto"/>
                    <w:right w:val="single" w:sz="6" w:space="0" w:color="auto"/>
                  </w:tcBorders>
                  <w:shd w:val="clear" w:color="auto" w:fill="FED781"/>
                  <w:tcMar>
                    <w:left w:w="105" w:type="dxa"/>
                    <w:right w:w="105" w:type="dxa"/>
                  </w:tcMar>
                  <w:vAlign w:val="bottom"/>
                </w:tcPr>
                <w:p w14:paraId="2BFCF15D" w14:textId="6CB9D2FE"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5</w:t>
                  </w:r>
                </w:p>
              </w:tc>
              <w:tc>
                <w:tcPr>
                  <w:tcW w:w="1319" w:type="dxa"/>
                  <w:tcBorders>
                    <w:top w:val="single" w:sz="6" w:space="0" w:color="auto"/>
                    <w:left w:val="single" w:sz="6" w:space="0" w:color="auto"/>
                    <w:bottom w:val="single" w:sz="6" w:space="0" w:color="auto"/>
                    <w:right w:val="single" w:sz="6" w:space="0" w:color="auto"/>
                  </w:tcBorders>
                  <w:shd w:val="clear" w:color="auto" w:fill="FED17F"/>
                  <w:tcMar>
                    <w:left w:w="105" w:type="dxa"/>
                    <w:right w:w="105" w:type="dxa"/>
                  </w:tcMar>
                  <w:vAlign w:val="bottom"/>
                </w:tcPr>
                <w:p w14:paraId="025F17B1" w14:textId="0FBAE97E"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8.8%</w:t>
                  </w:r>
                </w:p>
              </w:tc>
            </w:tr>
            <w:tr w:rsidR="4D65ED4F" w14:paraId="633E0D6D"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002A29D" w14:textId="17E410DB"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Public order</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F7E0F5B" w14:textId="609CF2C1"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613</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D3FF0B8" w14:textId="5E9B28E3"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491</w:t>
                  </w:r>
                </w:p>
              </w:tc>
              <w:tc>
                <w:tcPr>
                  <w:tcW w:w="1319" w:type="dxa"/>
                  <w:tcBorders>
                    <w:top w:val="single" w:sz="6" w:space="0" w:color="auto"/>
                    <w:left w:val="single" w:sz="6" w:space="0" w:color="auto"/>
                    <w:bottom w:val="single" w:sz="6" w:space="0" w:color="auto"/>
                    <w:right w:val="single" w:sz="6" w:space="0" w:color="auto"/>
                  </w:tcBorders>
                  <w:shd w:val="clear" w:color="auto" w:fill="DAE081"/>
                  <w:tcMar>
                    <w:left w:w="105" w:type="dxa"/>
                    <w:right w:w="105" w:type="dxa"/>
                  </w:tcMar>
                  <w:vAlign w:val="bottom"/>
                </w:tcPr>
                <w:p w14:paraId="44D61015" w14:textId="60DE9C17"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-122</w:t>
                  </w:r>
                </w:p>
              </w:tc>
              <w:tc>
                <w:tcPr>
                  <w:tcW w:w="1319" w:type="dxa"/>
                  <w:tcBorders>
                    <w:top w:val="single" w:sz="6" w:space="0" w:color="auto"/>
                    <w:left w:val="single" w:sz="6" w:space="0" w:color="auto"/>
                    <w:bottom w:val="single" w:sz="6" w:space="0" w:color="auto"/>
                    <w:right w:val="single" w:sz="6" w:space="0" w:color="auto"/>
                  </w:tcBorders>
                  <w:shd w:val="clear" w:color="auto" w:fill="B1D47F"/>
                  <w:tcMar>
                    <w:left w:w="105" w:type="dxa"/>
                    <w:right w:w="105" w:type="dxa"/>
                  </w:tcMar>
                  <w:vAlign w:val="bottom"/>
                </w:tcPr>
                <w:p w14:paraId="569A8AA8" w14:textId="3BFF8455"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-19.9%</w:t>
                  </w:r>
                </w:p>
              </w:tc>
            </w:tr>
            <w:tr w:rsidR="4D65ED4F" w14:paraId="182FA178"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DCDD76B" w14:textId="62E268B5"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Robbery</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818010A" w14:textId="09DAE94F"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42</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CA29DD7" w14:textId="6978F48F"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66</w:t>
                  </w:r>
                </w:p>
              </w:tc>
              <w:tc>
                <w:tcPr>
                  <w:tcW w:w="1319" w:type="dxa"/>
                  <w:tcBorders>
                    <w:top w:val="single" w:sz="6" w:space="0" w:color="auto"/>
                    <w:left w:val="single" w:sz="6" w:space="0" w:color="auto"/>
                    <w:bottom w:val="single" w:sz="6" w:space="0" w:color="auto"/>
                    <w:right w:val="single" w:sz="6" w:space="0" w:color="auto"/>
                  </w:tcBorders>
                  <w:shd w:val="clear" w:color="auto" w:fill="FDBD7C"/>
                  <w:tcMar>
                    <w:left w:w="105" w:type="dxa"/>
                    <w:right w:w="105" w:type="dxa"/>
                  </w:tcMar>
                  <w:vAlign w:val="bottom"/>
                </w:tcPr>
                <w:p w14:paraId="59860756" w14:textId="2C688EE2"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24</w:t>
                  </w:r>
                </w:p>
              </w:tc>
              <w:tc>
                <w:tcPr>
                  <w:tcW w:w="1319" w:type="dxa"/>
                  <w:tcBorders>
                    <w:top w:val="single" w:sz="6" w:space="0" w:color="auto"/>
                    <w:left w:val="single" w:sz="6" w:space="0" w:color="auto"/>
                    <w:bottom w:val="single" w:sz="6" w:space="0" w:color="auto"/>
                    <w:right w:val="single" w:sz="6" w:space="0" w:color="auto"/>
                  </w:tcBorders>
                  <w:shd w:val="clear" w:color="auto" w:fill="F8696B"/>
                  <w:tcMar>
                    <w:left w:w="105" w:type="dxa"/>
                    <w:right w:w="105" w:type="dxa"/>
                  </w:tcMar>
                  <w:vAlign w:val="bottom"/>
                </w:tcPr>
                <w:p w14:paraId="6835066E" w14:textId="4E4D340C"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57.1%</w:t>
                  </w:r>
                </w:p>
              </w:tc>
            </w:tr>
            <w:tr w:rsidR="4D65ED4F" w14:paraId="143955DF"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4058306" w14:textId="41EBC295"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Shoplifting</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427A387" w14:textId="6574AE76"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247</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96758C9" w14:textId="3446BC80"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332</w:t>
                  </w:r>
                </w:p>
              </w:tc>
              <w:tc>
                <w:tcPr>
                  <w:tcW w:w="1319" w:type="dxa"/>
                  <w:tcBorders>
                    <w:top w:val="single" w:sz="6" w:space="0" w:color="auto"/>
                    <w:left w:val="single" w:sz="6" w:space="0" w:color="auto"/>
                    <w:bottom w:val="single" w:sz="6" w:space="0" w:color="auto"/>
                    <w:right w:val="single" w:sz="6" w:space="0" w:color="auto"/>
                  </w:tcBorders>
                  <w:shd w:val="clear" w:color="auto" w:fill="F8696B"/>
                  <w:tcMar>
                    <w:left w:w="105" w:type="dxa"/>
                    <w:right w:w="105" w:type="dxa"/>
                  </w:tcMar>
                  <w:vAlign w:val="bottom"/>
                </w:tcPr>
                <w:p w14:paraId="4FF556CE" w14:textId="5FCFF44C"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85</w:t>
                  </w:r>
                </w:p>
              </w:tc>
              <w:tc>
                <w:tcPr>
                  <w:tcW w:w="1319" w:type="dxa"/>
                  <w:tcBorders>
                    <w:top w:val="single" w:sz="6" w:space="0" w:color="auto"/>
                    <w:left w:val="single" w:sz="6" w:space="0" w:color="auto"/>
                    <w:bottom w:val="single" w:sz="6" w:space="0" w:color="auto"/>
                    <w:right w:val="single" w:sz="6" w:space="0" w:color="auto"/>
                  </w:tcBorders>
                  <w:shd w:val="clear" w:color="auto" w:fill="FB9A75"/>
                  <w:tcMar>
                    <w:left w:w="105" w:type="dxa"/>
                    <w:right w:w="105" w:type="dxa"/>
                  </w:tcMar>
                  <w:vAlign w:val="bottom"/>
                </w:tcPr>
                <w:p w14:paraId="535D87A8" w14:textId="222D46C8"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34.4%</w:t>
                  </w:r>
                </w:p>
              </w:tc>
            </w:tr>
            <w:tr w:rsidR="4D65ED4F" w14:paraId="6C1BD4C0"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F0EE20" w14:textId="2B46A221"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Theft from the person</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26FA2E49" w14:textId="5875AC22"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21</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DE04636" w14:textId="58E79657"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15</w:t>
                  </w:r>
                </w:p>
              </w:tc>
              <w:tc>
                <w:tcPr>
                  <w:tcW w:w="1319" w:type="dxa"/>
                  <w:tcBorders>
                    <w:top w:val="single" w:sz="6" w:space="0" w:color="auto"/>
                    <w:left w:val="single" w:sz="6" w:space="0" w:color="auto"/>
                    <w:bottom w:val="single" w:sz="6" w:space="0" w:color="auto"/>
                    <w:right w:val="single" w:sz="6" w:space="0" w:color="auto"/>
                  </w:tcBorders>
                  <w:shd w:val="clear" w:color="auto" w:fill="FFE683"/>
                  <w:tcMar>
                    <w:left w:w="105" w:type="dxa"/>
                    <w:right w:w="105" w:type="dxa"/>
                  </w:tcMar>
                  <w:vAlign w:val="bottom"/>
                </w:tcPr>
                <w:p w14:paraId="3A4A0236" w14:textId="15D5EBEA"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-6</w:t>
                  </w:r>
                </w:p>
              </w:tc>
              <w:tc>
                <w:tcPr>
                  <w:tcW w:w="1319" w:type="dxa"/>
                  <w:tcBorders>
                    <w:top w:val="single" w:sz="6" w:space="0" w:color="auto"/>
                    <w:left w:val="single" w:sz="6" w:space="0" w:color="auto"/>
                    <w:bottom w:val="single" w:sz="6" w:space="0" w:color="auto"/>
                    <w:right w:val="single" w:sz="6" w:space="0" w:color="auto"/>
                  </w:tcBorders>
                  <w:shd w:val="clear" w:color="auto" w:fill="89C87D"/>
                  <w:tcMar>
                    <w:left w:w="105" w:type="dxa"/>
                    <w:right w:w="105" w:type="dxa"/>
                  </w:tcMar>
                  <w:vAlign w:val="bottom"/>
                </w:tcPr>
                <w:p w14:paraId="16752D73" w14:textId="62F861DC"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-28.6%</w:t>
                  </w:r>
                </w:p>
              </w:tc>
            </w:tr>
            <w:tr w:rsidR="4D65ED4F" w14:paraId="2ACA00A6"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4084113" w14:textId="409531FB"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lastRenderedPageBreak/>
                    <w:t>Vehicle crime</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7BF1B1E" w14:textId="67670464"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412</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02BEFE3C" w14:textId="744E2DDE"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446</w:t>
                  </w:r>
                </w:p>
              </w:tc>
              <w:tc>
                <w:tcPr>
                  <w:tcW w:w="1319" w:type="dxa"/>
                  <w:tcBorders>
                    <w:top w:val="single" w:sz="6" w:space="0" w:color="auto"/>
                    <w:left w:val="single" w:sz="6" w:space="0" w:color="auto"/>
                    <w:bottom w:val="single" w:sz="6" w:space="0" w:color="auto"/>
                    <w:right w:val="single" w:sz="6" w:space="0" w:color="auto"/>
                  </w:tcBorders>
                  <w:shd w:val="clear" w:color="auto" w:fill="FCAF79"/>
                  <w:tcMar>
                    <w:left w:w="105" w:type="dxa"/>
                    <w:right w:w="105" w:type="dxa"/>
                  </w:tcMar>
                  <w:vAlign w:val="bottom"/>
                </w:tcPr>
                <w:p w14:paraId="1F556565" w14:textId="14D3D28E"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34</w:t>
                  </w:r>
                </w:p>
              </w:tc>
              <w:tc>
                <w:tcPr>
                  <w:tcW w:w="1319" w:type="dxa"/>
                  <w:tcBorders>
                    <w:top w:val="single" w:sz="6" w:space="0" w:color="auto"/>
                    <w:left w:val="single" w:sz="6" w:space="0" w:color="auto"/>
                    <w:bottom w:val="single" w:sz="6" w:space="0" w:color="auto"/>
                    <w:right w:val="single" w:sz="6" w:space="0" w:color="auto"/>
                  </w:tcBorders>
                  <w:shd w:val="clear" w:color="auto" w:fill="FED280"/>
                  <w:tcMar>
                    <w:left w:w="105" w:type="dxa"/>
                    <w:right w:w="105" w:type="dxa"/>
                  </w:tcMar>
                  <w:vAlign w:val="bottom"/>
                </w:tcPr>
                <w:p w14:paraId="3B19BBA2" w14:textId="25A74020"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8.3%</w:t>
                  </w:r>
                </w:p>
              </w:tc>
            </w:tr>
            <w:tr w:rsidR="4D65ED4F" w14:paraId="5455ED25" w14:textId="77777777" w:rsidTr="4D65ED4F">
              <w:trPr>
                <w:trHeight w:val="285"/>
              </w:trPr>
              <w:tc>
                <w:tcPr>
                  <w:tcW w:w="3323"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8278599" w14:textId="3D3137D9" w:rsidR="4D65ED4F" w:rsidRDefault="4D65ED4F" w:rsidP="4D65ED4F">
                  <w:pPr>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Violence and sexual offences</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20D92A" w14:textId="075BE03C"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2888</w:t>
                  </w:r>
                </w:p>
              </w:tc>
              <w:tc>
                <w:tcPr>
                  <w:tcW w:w="1335" w:type="dxa"/>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EF0553C" w14:textId="3B02A757"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2393</w:t>
                  </w:r>
                </w:p>
              </w:tc>
              <w:tc>
                <w:tcPr>
                  <w:tcW w:w="1319" w:type="dxa"/>
                  <w:tcBorders>
                    <w:top w:val="single" w:sz="6" w:space="0" w:color="auto"/>
                    <w:left w:val="single" w:sz="6" w:space="0" w:color="auto"/>
                    <w:bottom w:val="single" w:sz="6" w:space="0" w:color="auto"/>
                    <w:right w:val="single" w:sz="6" w:space="0" w:color="auto"/>
                  </w:tcBorders>
                  <w:shd w:val="clear" w:color="auto" w:fill="63BE7B"/>
                  <w:tcMar>
                    <w:left w:w="105" w:type="dxa"/>
                    <w:right w:w="105" w:type="dxa"/>
                  </w:tcMar>
                  <w:vAlign w:val="bottom"/>
                </w:tcPr>
                <w:p w14:paraId="717D323B" w14:textId="56850AF8"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-495</w:t>
                  </w:r>
                </w:p>
              </w:tc>
              <w:tc>
                <w:tcPr>
                  <w:tcW w:w="1319" w:type="dxa"/>
                  <w:tcBorders>
                    <w:top w:val="single" w:sz="6" w:space="0" w:color="auto"/>
                    <w:left w:val="single" w:sz="6" w:space="0" w:color="auto"/>
                    <w:bottom w:val="single" w:sz="6" w:space="0" w:color="auto"/>
                    <w:right w:val="single" w:sz="6" w:space="0" w:color="auto"/>
                  </w:tcBorders>
                  <w:shd w:val="clear" w:color="auto" w:fill="BED880"/>
                  <w:tcMar>
                    <w:left w:w="105" w:type="dxa"/>
                    <w:right w:w="105" w:type="dxa"/>
                  </w:tcMar>
                  <w:vAlign w:val="bottom"/>
                </w:tcPr>
                <w:p w14:paraId="33FEEB6D" w14:textId="3D17B31F" w:rsidR="4D65ED4F" w:rsidRDefault="4D65ED4F" w:rsidP="4D65ED4F">
                  <w:pPr>
                    <w:jc w:val="right"/>
                    <w:rPr>
                      <w:rFonts w:ascii="Aptos Narrow" w:eastAsia="Aptos Narrow" w:hAnsi="Aptos Narrow" w:cs="Aptos Narrow"/>
                      <w:i/>
                      <w:iCs/>
                      <w:color w:val="000000" w:themeColor="text1"/>
                      <w:sz w:val="22"/>
                      <w:szCs w:val="22"/>
                    </w:rPr>
                  </w:pPr>
                  <w:r w:rsidRPr="4D65ED4F">
                    <w:rPr>
                      <w:rFonts w:ascii="Aptos Narrow" w:eastAsia="Aptos Narrow" w:hAnsi="Aptos Narrow" w:cs="Aptos Narrow"/>
                      <w:i/>
                      <w:iCs/>
                      <w:color w:val="000000" w:themeColor="text1"/>
                      <w:sz w:val="22"/>
                      <w:szCs w:val="22"/>
                    </w:rPr>
                    <w:t>-17.1%</w:t>
                  </w:r>
                </w:p>
              </w:tc>
            </w:tr>
          </w:tbl>
          <w:p w14:paraId="4A362890" w14:textId="2C74A65B" w:rsidR="00BA143A" w:rsidRPr="008A0E81" w:rsidRDefault="00BA143A" w:rsidP="4D65ED4F">
            <w:pPr>
              <w:spacing w:after="150"/>
              <w:rPr>
                <w:rFonts w:ascii="Arial" w:eastAsia="Arial" w:hAnsi="Arial" w:cs="Arial"/>
                <w:i/>
                <w:iCs/>
                <w:color w:val="000000" w:themeColor="text1"/>
                <w:sz w:val="21"/>
                <w:szCs w:val="21"/>
              </w:rPr>
            </w:pPr>
          </w:p>
          <w:p w14:paraId="41BBF2F1" w14:textId="76982DEC" w:rsidR="00BA143A" w:rsidRPr="00C362EE" w:rsidRDefault="708F516B" w:rsidP="00C362EE">
            <w:pPr>
              <w:spacing w:after="150"/>
              <w:rPr>
                <w:rFonts w:ascii="Arial" w:eastAsia="Arial" w:hAnsi="Arial" w:cs="Arial"/>
                <w:i/>
                <w:iCs/>
                <w:color w:val="000000" w:themeColor="text1"/>
                <w:sz w:val="24"/>
                <w:szCs w:val="24"/>
              </w:rPr>
            </w:pPr>
            <w:r w:rsidRPr="00C362EE">
              <w:rPr>
                <w:rFonts w:ascii="Arial" w:eastAsia="Arial" w:hAnsi="Arial" w:cs="Arial"/>
                <w:i/>
                <w:iCs/>
                <w:color w:val="000000" w:themeColor="text1"/>
                <w:sz w:val="24"/>
                <w:szCs w:val="24"/>
              </w:rPr>
              <w:t>The current CCTV infrastructure, being analogue, is inadequate for effective surveillance and monitoring. Upgrading to digital CCTV allows for real-time monitoring. Upgrading to digital CCTV allows for real-time monitoring, improved image quality and easier data analysis, thus enhancing the ability to identify and respond to incidents promptly.</w:t>
            </w:r>
          </w:p>
          <w:p w14:paraId="337A943D" w14:textId="236B08E9" w:rsidR="00BA143A" w:rsidRPr="008A0E81" w:rsidRDefault="316459AA" w:rsidP="4D65ED4F">
            <w:pPr>
              <w:shd w:val="clear" w:color="auto" w:fill="FFFFFF" w:themeFill="background1"/>
              <w:spacing w:after="150"/>
              <w:jc w:val="both"/>
              <w:rPr>
                <w:rFonts w:ascii="Arial" w:hAnsi="Arial" w:cs="Arial"/>
                <w:sz w:val="24"/>
                <w:szCs w:val="24"/>
              </w:rPr>
            </w:pPr>
            <w:r w:rsidRPr="4D65ED4F">
              <w:rPr>
                <w:rFonts w:ascii="Arial" w:hAnsi="Arial" w:cs="Arial"/>
                <w:sz w:val="24"/>
                <w:szCs w:val="24"/>
              </w:rPr>
              <w:t>For those projects within this tranche that came through the Community Safety Development Bid route, we also ask bidders</w:t>
            </w:r>
            <w:r w:rsidR="00C362EE">
              <w:rPr>
                <w:rFonts w:ascii="Arial" w:hAnsi="Arial" w:cs="Arial"/>
                <w:sz w:val="24"/>
                <w:szCs w:val="24"/>
              </w:rPr>
              <w:t xml:space="preserve">, </w:t>
            </w:r>
            <w:r w:rsidRPr="4D65ED4F">
              <w:rPr>
                <w:rFonts w:ascii="Arial" w:hAnsi="Arial" w:cs="Arial"/>
                <w:sz w:val="24"/>
                <w:szCs w:val="24"/>
              </w:rPr>
              <w:t>“</w:t>
            </w:r>
            <w:r w:rsidR="1D8B20B4" w:rsidRPr="4D65ED4F">
              <w:rPr>
                <w:rFonts w:ascii="Arial" w:hAnsi="Arial" w:cs="Arial"/>
                <w:i/>
                <w:iCs/>
                <w:sz w:val="24"/>
                <w:szCs w:val="24"/>
              </w:rPr>
              <w:t>What evidence do you have that this project is needed?  Can you demonstrate that the intervention will have the desired impact?  (Please include details of any consultation or stakeholder engagement conducted)</w:t>
            </w:r>
            <w:r w:rsidRPr="4D65ED4F">
              <w:rPr>
                <w:rFonts w:ascii="Arial" w:hAnsi="Arial" w:cs="Arial"/>
                <w:sz w:val="24"/>
                <w:szCs w:val="24"/>
              </w:rPr>
              <w:t>”</w:t>
            </w:r>
          </w:p>
        </w:tc>
      </w:tr>
      <w:tr w:rsidR="00E72A64" w:rsidRPr="003652B9" w14:paraId="29F3055A" w14:textId="77777777" w:rsidTr="079684F3">
        <w:tc>
          <w:tcPr>
            <w:tcW w:w="9292" w:type="dxa"/>
            <w:gridSpan w:val="2"/>
            <w:tcBorders>
              <w:left w:val="single" w:sz="4" w:space="0" w:color="auto"/>
              <w:bottom w:val="single" w:sz="4" w:space="0" w:color="auto"/>
            </w:tcBorders>
            <w:shd w:val="clear" w:color="auto" w:fill="D9D9D9" w:themeFill="background1" w:themeFillShade="D9"/>
          </w:tcPr>
          <w:p w14:paraId="08EA9216" w14:textId="77777777"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lastRenderedPageBreak/>
              <w:t>What relevant qualitative data has been considered?</w:t>
            </w:r>
          </w:p>
        </w:tc>
      </w:tr>
      <w:tr w:rsidR="00E72A64" w:rsidRPr="003652B9" w14:paraId="6CC51041" w14:textId="77777777" w:rsidTr="079684F3">
        <w:tc>
          <w:tcPr>
            <w:tcW w:w="9292" w:type="dxa"/>
            <w:gridSpan w:val="2"/>
            <w:tcBorders>
              <w:left w:val="single" w:sz="4" w:space="0" w:color="auto"/>
              <w:bottom w:val="single" w:sz="4" w:space="0" w:color="auto"/>
            </w:tcBorders>
            <w:shd w:val="clear" w:color="auto" w:fill="auto"/>
          </w:tcPr>
          <w:p w14:paraId="2EF18067" w14:textId="0F4D534F" w:rsidR="00E72A64" w:rsidRDefault="50B8211E" w:rsidP="4D65ED4F">
            <w:pPr>
              <w:rPr>
                <w:rFonts w:ascii="Arial" w:eastAsia="Arial" w:hAnsi="Arial" w:cs="Arial"/>
                <w:sz w:val="24"/>
                <w:szCs w:val="24"/>
              </w:rPr>
            </w:pPr>
            <w:r w:rsidRPr="4D65ED4F">
              <w:rPr>
                <w:rFonts w:ascii="Arial" w:eastAsia="Arial" w:hAnsi="Arial" w:cs="Arial"/>
                <w:sz w:val="24"/>
                <w:szCs w:val="24"/>
              </w:rPr>
              <w:t>As part of the Safer Streets application process, b</w:t>
            </w:r>
            <w:r w:rsidR="00CE28E7" w:rsidRPr="4D65ED4F">
              <w:rPr>
                <w:rFonts w:ascii="Arial" w:eastAsia="Arial" w:hAnsi="Arial" w:cs="Arial"/>
                <w:sz w:val="24"/>
                <w:szCs w:val="24"/>
              </w:rPr>
              <w:t>id</w:t>
            </w:r>
            <w:r w:rsidR="36ABAF6D" w:rsidRPr="4D65ED4F">
              <w:rPr>
                <w:rFonts w:ascii="Arial" w:eastAsia="Arial" w:hAnsi="Arial" w:cs="Arial"/>
                <w:sz w:val="24"/>
                <w:szCs w:val="24"/>
              </w:rPr>
              <w:t>s</w:t>
            </w:r>
            <w:r w:rsidR="00CE28E7" w:rsidRPr="4D65ED4F">
              <w:rPr>
                <w:rFonts w:ascii="Arial" w:eastAsia="Arial" w:hAnsi="Arial" w:cs="Arial"/>
                <w:sz w:val="24"/>
                <w:szCs w:val="24"/>
              </w:rPr>
              <w:t xml:space="preserve"> are </w:t>
            </w:r>
            <w:r w:rsidR="654BCDCE" w:rsidRPr="4D65ED4F">
              <w:rPr>
                <w:rFonts w:ascii="Arial" w:eastAsia="Arial" w:hAnsi="Arial" w:cs="Arial"/>
                <w:sz w:val="24"/>
                <w:szCs w:val="24"/>
              </w:rPr>
              <w:t xml:space="preserve">received directly from CSPs. For CSDF bids, CSPs have provided </w:t>
            </w:r>
            <w:r w:rsidR="00CE28E7" w:rsidRPr="4D65ED4F">
              <w:rPr>
                <w:rFonts w:ascii="Arial" w:eastAsia="Arial" w:hAnsi="Arial" w:cs="Arial"/>
                <w:sz w:val="24"/>
                <w:szCs w:val="24"/>
              </w:rPr>
              <w:t>endorsement of the bid</w:t>
            </w:r>
            <w:r w:rsidR="630C55AD" w:rsidRPr="4D65ED4F">
              <w:rPr>
                <w:rFonts w:ascii="Arial" w:eastAsia="Arial" w:hAnsi="Arial" w:cs="Arial"/>
                <w:sz w:val="24"/>
                <w:szCs w:val="24"/>
              </w:rPr>
              <w:t>s</w:t>
            </w:r>
            <w:r w:rsidR="00CE28E7" w:rsidRPr="4D65ED4F">
              <w:rPr>
                <w:rFonts w:ascii="Arial" w:eastAsia="Arial" w:hAnsi="Arial" w:cs="Arial"/>
                <w:sz w:val="24"/>
                <w:szCs w:val="24"/>
              </w:rPr>
              <w:t>. This provides the PFCC with assurance</w:t>
            </w:r>
            <w:r w:rsidR="1DCD99F6" w:rsidRPr="4D65ED4F">
              <w:rPr>
                <w:rFonts w:ascii="Arial" w:eastAsia="Arial" w:hAnsi="Arial" w:cs="Arial"/>
                <w:sz w:val="24"/>
                <w:szCs w:val="24"/>
              </w:rPr>
              <w:t>s</w:t>
            </w:r>
            <w:r w:rsidR="00CE28E7" w:rsidRPr="4D65ED4F">
              <w:rPr>
                <w:rFonts w:ascii="Arial" w:eastAsia="Arial" w:hAnsi="Arial" w:cs="Arial"/>
                <w:sz w:val="24"/>
                <w:szCs w:val="24"/>
              </w:rPr>
              <w:t xml:space="preserve"> that the project </w:t>
            </w:r>
            <w:r w:rsidR="18D52F00" w:rsidRPr="4D65ED4F">
              <w:rPr>
                <w:rFonts w:ascii="Arial" w:eastAsia="Arial" w:hAnsi="Arial" w:cs="Arial"/>
                <w:sz w:val="24"/>
                <w:szCs w:val="24"/>
              </w:rPr>
              <w:t xml:space="preserve">meets local needs and </w:t>
            </w:r>
            <w:r w:rsidR="00CE28E7" w:rsidRPr="4D65ED4F">
              <w:rPr>
                <w:rFonts w:ascii="Arial" w:eastAsia="Arial" w:hAnsi="Arial" w:cs="Arial"/>
                <w:sz w:val="24"/>
                <w:szCs w:val="24"/>
              </w:rPr>
              <w:t xml:space="preserve">fits the aims and priorities of the local </w:t>
            </w:r>
            <w:r w:rsidR="16D09396" w:rsidRPr="4D65ED4F">
              <w:rPr>
                <w:rFonts w:ascii="Arial" w:eastAsia="Arial" w:hAnsi="Arial" w:cs="Arial"/>
                <w:sz w:val="24"/>
                <w:szCs w:val="24"/>
              </w:rPr>
              <w:t>partnership</w:t>
            </w:r>
            <w:r w:rsidR="00CE28E7" w:rsidRPr="4D65ED4F">
              <w:rPr>
                <w:rFonts w:ascii="Arial" w:eastAsia="Arial" w:hAnsi="Arial" w:cs="Arial"/>
                <w:sz w:val="24"/>
                <w:szCs w:val="24"/>
              </w:rPr>
              <w:t>.</w:t>
            </w:r>
          </w:p>
          <w:p w14:paraId="4C87AF36" w14:textId="77777777" w:rsidR="00CE28E7" w:rsidRDefault="00CE28E7" w:rsidP="4D65ED4F">
            <w:pPr>
              <w:rPr>
                <w:rFonts w:ascii="Arial" w:eastAsia="Arial" w:hAnsi="Arial" w:cs="Arial"/>
                <w:i/>
                <w:iCs/>
                <w:sz w:val="24"/>
                <w:szCs w:val="24"/>
              </w:rPr>
            </w:pPr>
          </w:p>
          <w:p w14:paraId="711CA29E" w14:textId="744EBFD0" w:rsidR="00CE28E7" w:rsidRPr="003652B9" w:rsidRDefault="5F638567" w:rsidP="4D65ED4F">
            <w:pPr>
              <w:rPr>
                <w:rFonts w:ascii="Arial" w:eastAsia="Arial" w:hAnsi="Arial" w:cs="Arial"/>
                <w:sz w:val="24"/>
                <w:szCs w:val="24"/>
              </w:rPr>
            </w:pPr>
            <w:r w:rsidRPr="4D65ED4F">
              <w:rPr>
                <w:rFonts w:ascii="Arial" w:eastAsia="Arial" w:hAnsi="Arial" w:cs="Arial"/>
                <w:sz w:val="24"/>
                <w:szCs w:val="24"/>
              </w:rPr>
              <w:t>For CSDF bids</w:t>
            </w:r>
            <w:r w:rsidR="00A513DC">
              <w:rPr>
                <w:rFonts w:ascii="Arial" w:eastAsia="Arial" w:hAnsi="Arial" w:cs="Arial"/>
                <w:sz w:val="24"/>
                <w:szCs w:val="24"/>
              </w:rPr>
              <w:t>,</w:t>
            </w:r>
            <w:r w:rsidRPr="4D65ED4F">
              <w:rPr>
                <w:rFonts w:ascii="Arial" w:eastAsia="Arial" w:hAnsi="Arial" w:cs="Arial"/>
                <w:sz w:val="24"/>
                <w:szCs w:val="24"/>
              </w:rPr>
              <w:t xml:space="preserve"> b</w:t>
            </w:r>
            <w:r w:rsidR="00CE28E7" w:rsidRPr="4D65ED4F">
              <w:rPr>
                <w:rFonts w:ascii="Arial" w:eastAsia="Arial" w:hAnsi="Arial" w:cs="Arial"/>
                <w:sz w:val="24"/>
                <w:szCs w:val="24"/>
              </w:rPr>
              <w:t>idders may provide case studies in their application</w:t>
            </w:r>
            <w:r w:rsidR="000E1586" w:rsidRPr="4D65ED4F">
              <w:rPr>
                <w:rFonts w:ascii="Arial" w:eastAsia="Arial" w:hAnsi="Arial" w:cs="Arial"/>
                <w:sz w:val="24"/>
                <w:szCs w:val="24"/>
              </w:rPr>
              <w:t>.  T</w:t>
            </w:r>
            <w:r w:rsidR="00CE28E7" w:rsidRPr="4D65ED4F">
              <w:rPr>
                <w:rFonts w:ascii="Arial" w:eastAsia="Arial" w:hAnsi="Arial" w:cs="Arial"/>
                <w:sz w:val="24"/>
                <w:szCs w:val="24"/>
              </w:rPr>
              <w:t>his can he</w:t>
            </w:r>
            <w:r w:rsidR="00252DAB" w:rsidRPr="4D65ED4F">
              <w:rPr>
                <w:rFonts w:ascii="Arial" w:eastAsia="Arial" w:hAnsi="Arial" w:cs="Arial"/>
                <w:sz w:val="24"/>
                <w:szCs w:val="24"/>
              </w:rPr>
              <w:t>l</w:t>
            </w:r>
            <w:r w:rsidR="00CE28E7" w:rsidRPr="4D65ED4F">
              <w:rPr>
                <w:rFonts w:ascii="Arial" w:eastAsia="Arial" w:hAnsi="Arial" w:cs="Arial"/>
                <w:sz w:val="24"/>
                <w:szCs w:val="24"/>
              </w:rPr>
              <w:t xml:space="preserve">p bring to life the </w:t>
            </w:r>
            <w:r w:rsidR="00B3746B" w:rsidRPr="4D65ED4F">
              <w:rPr>
                <w:rFonts w:ascii="Arial" w:eastAsia="Arial" w:hAnsi="Arial" w:cs="Arial"/>
                <w:sz w:val="24"/>
                <w:szCs w:val="24"/>
              </w:rPr>
              <w:t xml:space="preserve">activity they are </w:t>
            </w:r>
            <w:r w:rsidR="00753EDE" w:rsidRPr="4D65ED4F">
              <w:rPr>
                <w:rFonts w:ascii="Arial" w:eastAsia="Arial" w:hAnsi="Arial" w:cs="Arial"/>
                <w:sz w:val="24"/>
                <w:szCs w:val="24"/>
              </w:rPr>
              <w:t>proposing</w:t>
            </w:r>
            <w:r w:rsidR="00B3746B" w:rsidRPr="4D65ED4F">
              <w:rPr>
                <w:rFonts w:ascii="Arial" w:eastAsia="Arial" w:hAnsi="Arial" w:cs="Arial"/>
                <w:sz w:val="24"/>
                <w:szCs w:val="24"/>
              </w:rPr>
              <w:t xml:space="preserve"> and gives a </w:t>
            </w:r>
            <w:r w:rsidR="00753EDE" w:rsidRPr="4D65ED4F">
              <w:rPr>
                <w:rFonts w:ascii="Arial" w:eastAsia="Arial" w:hAnsi="Arial" w:cs="Arial"/>
                <w:sz w:val="24"/>
                <w:szCs w:val="24"/>
              </w:rPr>
              <w:t>flavour</w:t>
            </w:r>
            <w:r w:rsidR="00B3746B" w:rsidRPr="4D65ED4F">
              <w:rPr>
                <w:rFonts w:ascii="Arial" w:eastAsia="Arial" w:hAnsi="Arial" w:cs="Arial"/>
                <w:sz w:val="24"/>
                <w:szCs w:val="24"/>
              </w:rPr>
              <w:t xml:space="preserve"> of the individual outcomes and impact of their project.</w:t>
            </w:r>
            <w:r w:rsidR="00753EDE" w:rsidRPr="4D65ED4F">
              <w:rPr>
                <w:rFonts w:ascii="Arial" w:eastAsia="Arial" w:hAnsi="Arial" w:cs="Arial"/>
                <w:sz w:val="24"/>
                <w:szCs w:val="24"/>
              </w:rPr>
              <w:t xml:space="preserve"> </w:t>
            </w:r>
          </w:p>
          <w:p w14:paraId="00468658" w14:textId="688CF373" w:rsidR="00CE28E7" w:rsidRPr="003652B9" w:rsidRDefault="00CE28E7" w:rsidP="4D65ED4F">
            <w:pPr>
              <w:rPr>
                <w:rFonts w:ascii="Arial" w:eastAsia="Arial" w:hAnsi="Arial" w:cs="Arial"/>
                <w:sz w:val="24"/>
                <w:szCs w:val="24"/>
              </w:rPr>
            </w:pPr>
          </w:p>
          <w:p w14:paraId="596FE7E4" w14:textId="34D9F09C" w:rsidR="00CE28E7" w:rsidRDefault="1BCDCFA0" w:rsidP="4D65ED4F">
            <w:pPr>
              <w:rPr>
                <w:rFonts w:ascii="Arial" w:eastAsia="Arial" w:hAnsi="Arial" w:cs="Arial"/>
                <w:sz w:val="24"/>
                <w:szCs w:val="24"/>
              </w:rPr>
            </w:pPr>
            <w:r w:rsidRPr="4D65ED4F">
              <w:rPr>
                <w:rFonts w:ascii="Arial" w:eastAsia="Arial" w:hAnsi="Arial" w:cs="Arial"/>
                <w:sz w:val="24"/>
                <w:szCs w:val="24"/>
              </w:rPr>
              <w:t>For Safer Streets bids, CSPs must undertake consultation with local stakeholders</w:t>
            </w:r>
            <w:r w:rsidR="483B84C6" w:rsidRPr="4D65ED4F">
              <w:rPr>
                <w:rFonts w:ascii="Arial" w:eastAsia="Arial" w:hAnsi="Arial" w:cs="Arial"/>
                <w:sz w:val="24"/>
                <w:szCs w:val="24"/>
              </w:rPr>
              <w:t>, specifically; “</w:t>
            </w:r>
            <w:r w:rsidR="483B84C6" w:rsidRPr="4D65ED4F">
              <w:rPr>
                <w:rFonts w:ascii="Arial" w:eastAsia="Arial" w:hAnsi="Arial" w:cs="Arial"/>
                <w:i/>
                <w:iCs/>
                <w:sz w:val="24"/>
                <w:szCs w:val="24"/>
              </w:rPr>
              <w:t>A summary of the information obtained through your mandatory consultation with relevant stakeholders</w:t>
            </w:r>
            <w:r w:rsidR="483B84C6" w:rsidRPr="4D65ED4F">
              <w:rPr>
                <w:rFonts w:ascii="Arial" w:eastAsia="Arial" w:hAnsi="Arial" w:cs="Arial"/>
                <w:sz w:val="24"/>
                <w:szCs w:val="24"/>
              </w:rPr>
              <w:t>”.</w:t>
            </w:r>
            <w:r w:rsidR="00240110">
              <w:rPr>
                <w:rFonts w:ascii="Arial" w:eastAsia="Arial" w:hAnsi="Arial" w:cs="Arial"/>
                <w:sz w:val="24"/>
                <w:szCs w:val="24"/>
              </w:rPr>
              <w:t xml:space="preserve">  </w:t>
            </w:r>
            <w:r w:rsidR="2D6DC01B" w:rsidRPr="4D65ED4F">
              <w:rPr>
                <w:rFonts w:ascii="Arial" w:eastAsia="Arial" w:hAnsi="Arial" w:cs="Arial"/>
                <w:sz w:val="24"/>
                <w:szCs w:val="24"/>
              </w:rPr>
              <w:t>As an example, the Oakwood Hills bid from Epping Forest CSP stated the following</w:t>
            </w:r>
            <w:r w:rsidR="00240110">
              <w:rPr>
                <w:rFonts w:ascii="Arial" w:eastAsia="Arial" w:hAnsi="Arial" w:cs="Arial"/>
                <w:sz w:val="24"/>
                <w:szCs w:val="24"/>
              </w:rPr>
              <w:t>:</w:t>
            </w:r>
          </w:p>
          <w:p w14:paraId="4B1C4D51" w14:textId="77777777" w:rsidR="00240110" w:rsidRPr="00240110" w:rsidRDefault="00240110" w:rsidP="4D65ED4F">
            <w:pPr>
              <w:rPr>
                <w:rFonts w:ascii="Arial" w:eastAsia="Arial" w:hAnsi="Arial" w:cs="Arial"/>
                <w:sz w:val="24"/>
                <w:szCs w:val="24"/>
              </w:rPr>
            </w:pPr>
          </w:p>
          <w:p w14:paraId="35A95C05" w14:textId="668A8107" w:rsidR="00CE28E7" w:rsidRPr="003652B9" w:rsidRDefault="2D6DC01B" w:rsidP="4D65ED4F">
            <w:pPr>
              <w:rPr>
                <w:rFonts w:ascii="Arial" w:eastAsia="Arial" w:hAnsi="Arial" w:cs="Arial"/>
                <w:i/>
                <w:iCs/>
                <w:color w:val="000000" w:themeColor="text1"/>
                <w:sz w:val="24"/>
                <w:szCs w:val="24"/>
              </w:rPr>
            </w:pPr>
            <w:r w:rsidRPr="4D65ED4F">
              <w:rPr>
                <w:rFonts w:ascii="Arial" w:eastAsia="Arial" w:hAnsi="Arial" w:cs="Arial"/>
                <w:i/>
                <w:iCs/>
                <w:sz w:val="24"/>
                <w:szCs w:val="24"/>
              </w:rPr>
              <w:t>“</w:t>
            </w:r>
            <w:r w:rsidRPr="4D65ED4F">
              <w:rPr>
                <w:rFonts w:ascii="Arial" w:eastAsia="Arial" w:hAnsi="Arial" w:cs="Arial"/>
                <w:i/>
                <w:iCs/>
                <w:color w:val="000000" w:themeColor="text1"/>
                <w:sz w:val="24"/>
                <w:szCs w:val="24"/>
              </w:rPr>
              <w:t xml:space="preserve">In the development of this bid we have consulted with the Epping Forest Health and Wellbeing Board and the Epping Forest Community Safety Partnership. Both boards are made of statutory partners such as the Herts and West Essex Integrated Care Board, Essex County Council, Epping Forest District Council, Essex Police and Essex County Fire and Rescue as well as third sector organisations. </w:t>
            </w:r>
          </w:p>
          <w:p w14:paraId="299180E7" w14:textId="518FF68A" w:rsidR="00CE28E7" w:rsidRPr="003652B9" w:rsidRDefault="2D6DC01B" w:rsidP="4D65ED4F">
            <w:pPr>
              <w:rPr>
                <w:rFonts w:ascii="Arial" w:eastAsia="Arial" w:hAnsi="Arial" w:cs="Arial"/>
                <w:sz w:val="24"/>
                <w:szCs w:val="24"/>
              </w:rPr>
            </w:pPr>
            <w:r w:rsidRPr="4D65ED4F">
              <w:rPr>
                <w:rFonts w:ascii="Arial" w:eastAsia="Arial" w:hAnsi="Arial" w:cs="Arial"/>
                <w:i/>
                <w:iCs/>
                <w:color w:val="000000" w:themeColor="text1"/>
                <w:sz w:val="24"/>
                <w:szCs w:val="24"/>
              </w:rPr>
              <w:t>All partners on the boards support the bid highlighting how the levels of deprivation on the estate are driving poor health outcomes and wider social issues such as crime and anti-social behaviour. In addition to the boards Epping Forest South Primary Care Network have also expressed support for the bid as Oakwood Hill is a priority area due to the high levels of hospital admissions and use of general practice services from residents on the estate.</w:t>
            </w:r>
            <w:r w:rsidRPr="4D65ED4F">
              <w:rPr>
                <w:rFonts w:ascii="Arial" w:eastAsia="Arial" w:hAnsi="Arial" w:cs="Arial"/>
                <w:sz w:val="24"/>
                <w:szCs w:val="24"/>
              </w:rPr>
              <w:t>”</w:t>
            </w:r>
          </w:p>
          <w:p w14:paraId="6B2104E1" w14:textId="514F8C6D" w:rsidR="00CE28E7" w:rsidRPr="003652B9" w:rsidRDefault="00CE28E7" w:rsidP="4D65ED4F">
            <w:pPr>
              <w:rPr>
                <w:rFonts w:ascii="Arial" w:eastAsia="Arial" w:hAnsi="Arial" w:cs="Arial"/>
                <w:sz w:val="24"/>
                <w:szCs w:val="24"/>
              </w:rPr>
            </w:pPr>
          </w:p>
        </w:tc>
      </w:tr>
    </w:tbl>
    <w:p w14:paraId="1E5948AC" w14:textId="0BF627F1" w:rsidR="079684F3" w:rsidRDefault="079684F3"/>
    <w:p w14:paraId="5F0D6E0B" w14:textId="77777777" w:rsidR="00E72A64" w:rsidRDefault="00E72A64" w:rsidP="00E72A64">
      <w:pPr>
        <w:rPr>
          <w:rFonts w:ascii="Arial" w:hAnsi="Arial" w:cs="Arial"/>
          <w:sz w:val="24"/>
          <w:szCs w:val="24"/>
        </w:rPr>
      </w:pPr>
    </w:p>
    <w:p w14:paraId="62514DA1" w14:textId="6FE913E3" w:rsidR="4D65ED4F" w:rsidRDefault="4D65ED4F">
      <w:r>
        <w:br w:type="page"/>
      </w:r>
    </w:p>
    <w:p w14:paraId="21439382" w14:textId="77777777" w:rsidR="00E72A64" w:rsidRPr="00B0181F" w:rsidRDefault="00E72A64" w:rsidP="00E72A64">
      <w:pPr>
        <w:rPr>
          <w:rFonts w:ascii="Arial" w:hAnsi="Arial" w:cs="Arial"/>
          <w:sz w:val="24"/>
          <w:szCs w:val="24"/>
        </w:rPr>
      </w:pPr>
    </w:p>
    <w:tbl>
      <w:tblPr>
        <w:tblW w:w="92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935"/>
        <w:gridCol w:w="720"/>
        <w:gridCol w:w="4979"/>
      </w:tblGrid>
      <w:tr w:rsidR="00E72A64" w:rsidRPr="003652B9" w14:paraId="6F60DC99" w14:textId="77777777" w:rsidTr="4D65ED4F">
        <w:tc>
          <w:tcPr>
            <w:tcW w:w="9209" w:type="dxa"/>
            <w:gridSpan w:val="4"/>
            <w:tcBorders>
              <w:left w:val="single" w:sz="4" w:space="0" w:color="auto"/>
              <w:bottom w:val="single" w:sz="4" w:space="0" w:color="auto"/>
            </w:tcBorders>
            <w:shd w:val="clear" w:color="auto" w:fill="D9D9D9" w:themeFill="background1" w:themeFillShade="D9"/>
          </w:tcPr>
          <w:p w14:paraId="387EB134" w14:textId="799C6271"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Has the function</w:t>
            </w:r>
            <w:r w:rsidR="00240110">
              <w:rPr>
                <w:rFonts w:ascii="Arial" w:hAnsi="Arial" w:cs="Arial"/>
                <w:sz w:val="24"/>
                <w:szCs w:val="24"/>
              </w:rPr>
              <w:t xml:space="preserve"> </w:t>
            </w:r>
            <w:r w:rsidRPr="003652B9">
              <w:rPr>
                <w:rFonts w:ascii="Arial" w:hAnsi="Arial" w:cs="Arial"/>
                <w:sz w:val="24"/>
                <w:szCs w:val="24"/>
              </w:rPr>
              <w:t>/</w:t>
            </w:r>
            <w:r w:rsidR="00240110">
              <w:rPr>
                <w:rFonts w:ascii="Arial" w:hAnsi="Arial" w:cs="Arial"/>
                <w:sz w:val="24"/>
                <w:szCs w:val="24"/>
              </w:rPr>
              <w:t xml:space="preserve"> </w:t>
            </w:r>
            <w:r w:rsidRPr="003652B9">
              <w:rPr>
                <w:rFonts w:ascii="Arial" w:hAnsi="Arial" w:cs="Arial"/>
                <w:sz w:val="24"/>
                <w:szCs w:val="24"/>
              </w:rPr>
              <w:t xml:space="preserve">policy been subject to consultation? If no, why not? If yes, which individuals and </w:t>
            </w:r>
            <w:r w:rsidRPr="008A0E81">
              <w:rPr>
                <w:rFonts w:ascii="Arial" w:hAnsi="Arial" w:cs="Arial"/>
                <w:sz w:val="24"/>
                <w:szCs w:val="24"/>
              </w:rPr>
              <w:t>organisations</w:t>
            </w:r>
            <w:r w:rsidRPr="003652B9">
              <w:rPr>
                <w:rFonts w:ascii="Arial" w:hAnsi="Arial" w:cs="Arial"/>
                <w:sz w:val="24"/>
                <w:szCs w:val="24"/>
              </w:rPr>
              <w:t xml:space="preserve"> were consulted and what form did consultation take?</w:t>
            </w:r>
          </w:p>
        </w:tc>
      </w:tr>
      <w:tr w:rsidR="00E72A64" w:rsidRPr="003652B9" w14:paraId="1EFCB326" w14:textId="77777777" w:rsidTr="4D65ED4F">
        <w:trPr>
          <w:trHeight w:val="6525"/>
        </w:trPr>
        <w:tc>
          <w:tcPr>
            <w:tcW w:w="9209" w:type="dxa"/>
            <w:gridSpan w:val="4"/>
            <w:tcBorders>
              <w:left w:val="single" w:sz="4" w:space="0" w:color="auto"/>
              <w:bottom w:val="single" w:sz="4" w:space="0" w:color="auto"/>
            </w:tcBorders>
            <w:shd w:val="clear" w:color="auto" w:fill="auto"/>
          </w:tcPr>
          <w:p w14:paraId="35020A31" w14:textId="77777777" w:rsidR="00380956" w:rsidRPr="00380956" w:rsidRDefault="22E543EC" w:rsidP="00CE0907">
            <w:pPr>
              <w:spacing w:before="120" w:after="120"/>
              <w:rPr>
                <w:rFonts w:ascii="Arial" w:hAnsi="Arial" w:cs="Arial"/>
                <w:iCs/>
                <w:sz w:val="24"/>
                <w:szCs w:val="24"/>
                <w:u w:val="single"/>
              </w:rPr>
            </w:pPr>
            <w:r w:rsidRPr="4D65ED4F">
              <w:rPr>
                <w:rFonts w:ascii="Arial" w:hAnsi="Arial" w:cs="Arial"/>
                <w:sz w:val="24"/>
                <w:szCs w:val="24"/>
                <w:u w:val="single"/>
              </w:rPr>
              <w:t>Application process</w:t>
            </w:r>
          </w:p>
          <w:p w14:paraId="4FD94BD5" w14:textId="5F1245F7" w:rsidR="3E15546A" w:rsidRDefault="3E15546A" w:rsidP="00B34282">
            <w:pPr>
              <w:rPr>
                <w:rFonts w:ascii="Arial" w:hAnsi="Arial" w:cs="Arial"/>
                <w:sz w:val="24"/>
                <w:szCs w:val="24"/>
              </w:rPr>
            </w:pPr>
            <w:r w:rsidRPr="4D65ED4F">
              <w:rPr>
                <w:rFonts w:ascii="Arial" w:hAnsi="Arial" w:cs="Arial"/>
                <w:sz w:val="24"/>
                <w:szCs w:val="24"/>
              </w:rPr>
              <w:t xml:space="preserve">The PFCC agreed the process for this funding via decision report 101-23 in </w:t>
            </w:r>
            <w:r w:rsidR="0124F736" w:rsidRPr="4D65ED4F">
              <w:rPr>
                <w:rFonts w:ascii="Arial" w:hAnsi="Arial" w:cs="Arial"/>
                <w:sz w:val="24"/>
                <w:szCs w:val="24"/>
              </w:rPr>
              <w:t xml:space="preserve">May 2023. The PFCC reviewed and agreed in principle the proposed Safer Streets </w:t>
            </w:r>
          </w:p>
          <w:p w14:paraId="4944D0EB" w14:textId="77DD4B0E" w:rsidR="0124F736" w:rsidRDefault="0124F736" w:rsidP="00B34282">
            <w:pPr>
              <w:rPr>
                <w:rFonts w:ascii="Arial" w:hAnsi="Arial" w:cs="Arial"/>
                <w:sz w:val="24"/>
                <w:szCs w:val="24"/>
              </w:rPr>
            </w:pPr>
            <w:r w:rsidRPr="4D65ED4F">
              <w:rPr>
                <w:rFonts w:ascii="Arial" w:hAnsi="Arial" w:cs="Arial"/>
                <w:sz w:val="24"/>
                <w:szCs w:val="24"/>
              </w:rPr>
              <w:t>criteria at a Senior Management Team meeting on 15th March 2023.</w:t>
            </w:r>
          </w:p>
          <w:p w14:paraId="7A9FDBFF" w14:textId="77777777" w:rsidR="00B34282" w:rsidRDefault="00B34282" w:rsidP="00B34282"/>
          <w:p w14:paraId="533795EA" w14:textId="0C8629D6" w:rsidR="0124F736" w:rsidRDefault="0124F736" w:rsidP="00B34282">
            <w:r w:rsidRPr="4D65ED4F">
              <w:rPr>
                <w:rFonts w:ascii="Arial" w:hAnsi="Arial" w:cs="Arial"/>
                <w:sz w:val="24"/>
                <w:szCs w:val="24"/>
              </w:rPr>
              <w:t xml:space="preserve">CSP Chairs and Managers were notified of the PFCC’s intention to launch this </w:t>
            </w:r>
          </w:p>
          <w:p w14:paraId="25DA966B" w14:textId="17AC1597" w:rsidR="0124F736" w:rsidRDefault="0124F736" w:rsidP="00B34282">
            <w:r w:rsidRPr="4D65ED4F">
              <w:rPr>
                <w:rFonts w:ascii="Arial" w:hAnsi="Arial" w:cs="Arial"/>
                <w:sz w:val="24"/>
                <w:szCs w:val="24"/>
              </w:rPr>
              <w:t>fund in March 2023.</w:t>
            </w:r>
          </w:p>
          <w:p w14:paraId="672DB15E" w14:textId="4E8434A6" w:rsidR="00380956" w:rsidRPr="00380956" w:rsidRDefault="22E543EC" w:rsidP="00380956">
            <w:pPr>
              <w:spacing w:before="120" w:after="120"/>
              <w:rPr>
                <w:rFonts w:ascii="Arial" w:hAnsi="Arial" w:cs="Arial"/>
                <w:iCs/>
                <w:sz w:val="24"/>
                <w:szCs w:val="24"/>
                <w:u w:val="single"/>
              </w:rPr>
            </w:pPr>
            <w:r w:rsidRPr="4D65ED4F">
              <w:rPr>
                <w:rFonts w:ascii="Arial" w:hAnsi="Arial" w:cs="Arial"/>
                <w:sz w:val="24"/>
                <w:szCs w:val="24"/>
                <w:u w:val="single"/>
              </w:rPr>
              <w:t>Bid development</w:t>
            </w:r>
          </w:p>
          <w:p w14:paraId="559C038E" w14:textId="640930DD" w:rsidR="00380956" w:rsidRDefault="26F682F6" w:rsidP="4D65ED4F">
            <w:pPr>
              <w:spacing w:before="120" w:after="120"/>
              <w:rPr>
                <w:rFonts w:ascii="Arial" w:hAnsi="Arial" w:cs="Arial"/>
                <w:sz w:val="24"/>
                <w:szCs w:val="24"/>
              </w:rPr>
            </w:pPr>
            <w:r w:rsidRPr="4D65ED4F">
              <w:rPr>
                <w:rFonts w:ascii="Arial" w:hAnsi="Arial" w:cs="Arial"/>
                <w:sz w:val="24"/>
                <w:szCs w:val="24"/>
              </w:rPr>
              <w:t xml:space="preserve">For Safer Streets bids, CSPs must undertake consultation and engagement with stakeholders to evidence the need for their proposal and why they believe their activity will impact positively on that. This is a mandatory part of the application process. </w:t>
            </w:r>
          </w:p>
          <w:p w14:paraId="40E49EE5" w14:textId="046A5405" w:rsidR="00380956" w:rsidRDefault="26F682F6" w:rsidP="4D65ED4F">
            <w:pPr>
              <w:spacing w:before="120" w:after="120"/>
              <w:rPr>
                <w:rFonts w:ascii="Arial" w:hAnsi="Arial" w:cs="Arial"/>
                <w:sz w:val="24"/>
                <w:szCs w:val="24"/>
              </w:rPr>
            </w:pPr>
            <w:r w:rsidRPr="4D65ED4F">
              <w:rPr>
                <w:rFonts w:ascii="Arial" w:hAnsi="Arial" w:cs="Arial"/>
                <w:sz w:val="24"/>
                <w:szCs w:val="24"/>
              </w:rPr>
              <w:t>For CSDF bids, o</w:t>
            </w:r>
            <w:r w:rsidR="22E543EC" w:rsidRPr="4D65ED4F">
              <w:rPr>
                <w:rFonts w:ascii="Arial" w:hAnsi="Arial" w:cs="Arial"/>
                <w:sz w:val="24"/>
                <w:szCs w:val="24"/>
              </w:rPr>
              <w:t xml:space="preserve">ur application form includes a requirement for bidders to engage with, and seek </w:t>
            </w:r>
            <w:r w:rsidR="00E11253">
              <w:rPr>
                <w:rFonts w:ascii="Arial" w:hAnsi="Arial" w:cs="Arial"/>
                <w:sz w:val="24"/>
                <w:szCs w:val="24"/>
              </w:rPr>
              <w:t xml:space="preserve">the </w:t>
            </w:r>
            <w:r w:rsidR="22E543EC" w:rsidRPr="4D65ED4F">
              <w:rPr>
                <w:rFonts w:ascii="Arial" w:hAnsi="Arial" w:cs="Arial"/>
                <w:sz w:val="24"/>
                <w:szCs w:val="24"/>
              </w:rPr>
              <w:t>endorsement of, their local Community Safety Partnership. This ensures that the applications meet the priorities of the local CSP and do not duplicate or interfere with other commissioned activity.</w:t>
            </w:r>
          </w:p>
          <w:p w14:paraId="13FDA1F8" w14:textId="3A7455A9" w:rsidR="00380956" w:rsidRPr="00380956" w:rsidRDefault="00380956" w:rsidP="00CE0907">
            <w:pPr>
              <w:spacing w:before="120" w:after="120"/>
              <w:rPr>
                <w:rFonts w:ascii="Arial" w:hAnsi="Arial" w:cs="Arial"/>
                <w:iCs/>
                <w:sz w:val="24"/>
                <w:szCs w:val="24"/>
                <w:u w:val="single"/>
              </w:rPr>
            </w:pPr>
            <w:r w:rsidRPr="00380956">
              <w:rPr>
                <w:rFonts w:ascii="Arial" w:hAnsi="Arial" w:cs="Arial"/>
                <w:iCs/>
                <w:sz w:val="24"/>
                <w:szCs w:val="24"/>
                <w:u w:val="single"/>
              </w:rPr>
              <w:t>Evaluation process</w:t>
            </w:r>
          </w:p>
          <w:p w14:paraId="635DC287" w14:textId="13660D92" w:rsidR="00E72A64" w:rsidRPr="00412567" w:rsidRDefault="5E750FE7" w:rsidP="4D65ED4F">
            <w:pPr>
              <w:spacing w:before="120" w:after="120"/>
              <w:rPr>
                <w:rFonts w:ascii="Arial" w:hAnsi="Arial" w:cs="Arial"/>
                <w:sz w:val="24"/>
                <w:szCs w:val="24"/>
              </w:rPr>
            </w:pPr>
            <w:r w:rsidRPr="4D65ED4F">
              <w:rPr>
                <w:rFonts w:ascii="Arial" w:hAnsi="Arial" w:cs="Arial"/>
                <w:sz w:val="24"/>
                <w:szCs w:val="24"/>
              </w:rPr>
              <w:t>The PFCC reviewed the proposals during its Senior Management Team meeting on 7</w:t>
            </w:r>
            <w:r w:rsidRPr="4D65ED4F">
              <w:rPr>
                <w:rFonts w:ascii="Arial" w:hAnsi="Arial" w:cs="Arial"/>
                <w:sz w:val="24"/>
                <w:szCs w:val="24"/>
                <w:vertAlign w:val="superscript"/>
              </w:rPr>
              <w:t>th</w:t>
            </w:r>
            <w:r w:rsidRPr="4D65ED4F">
              <w:rPr>
                <w:rFonts w:ascii="Arial" w:hAnsi="Arial" w:cs="Arial"/>
                <w:sz w:val="24"/>
                <w:szCs w:val="24"/>
              </w:rPr>
              <w:t xml:space="preserve"> May 2024</w:t>
            </w:r>
            <w:r w:rsidR="001B110F">
              <w:rPr>
                <w:rFonts w:ascii="Arial" w:hAnsi="Arial" w:cs="Arial"/>
                <w:sz w:val="24"/>
                <w:szCs w:val="24"/>
              </w:rPr>
              <w:t>.</w:t>
            </w:r>
          </w:p>
        </w:tc>
      </w:tr>
      <w:tr w:rsidR="00E72A64" w:rsidRPr="003652B9" w14:paraId="215BC967" w14:textId="77777777" w:rsidTr="4D65ED4F">
        <w:tc>
          <w:tcPr>
            <w:tcW w:w="9209" w:type="dxa"/>
            <w:gridSpan w:val="4"/>
            <w:tcBorders>
              <w:left w:val="single" w:sz="4" w:space="0" w:color="auto"/>
              <w:bottom w:val="single" w:sz="4" w:space="0" w:color="auto"/>
            </w:tcBorders>
            <w:shd w:val="clear" w:color="auto" w:fill="D9D9D9" w:themeFill="background1" w:themeFillShade="D9"/>
          </w:tcPr>
          <w:p w14:paraId="5F71872E" w14:textId="77777777"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Were any gaps in information identified? If so, what consideration has been given to commissioning work where required?</w:t>
            </w:r>
          </w:p>
        </w:tc>
      </w:tr>
      <w:tr w:rsidR="00E72A64" w:rsidRPr="003652B9" w14:paraId="0F5911CE" w14:textId="77777777" w:rsidTr="4D65ED4F">
        <w:trPr>
          <w:trHeight w:val="1972"/>
        </w:trPr>
        <w:tc>
          <w:tcPr>
            <w:tcW w:w="9209" w:type="dxa"/>
            <w:gridSpan w:val="4"/>
            <w:tcBorders>
              <w:left w:val="single" w:sz="4" w:space="0" w:color="auto"/>
              <w:bottom w:val="single" w:sz="4" w:space="0" w:color="auto"/>
            </w:tcBorders>
            <w:shd w:val="clear" w:color="auto" w:fill="auto"/>
          </w:tcPr>
          <w:p w14:paraId="4F55DDF3" w14:textId="1A27B9AB" w:rsidR="00412567" w:rsidRPr="00412567" w:rsidRDefault="44179AEB" w:rsidP="4D65ED4F">
            <w:pPr>
              <w:pStyle w:val="BodyText"/>
              <w:spacing w:before="240" w:after="240"/>
              <w:jc w:val="both"/>
              <w:rPr>
                <w:rFonts w:ascii="Arial" w:hAnsi="Arial" w:cs="Arial"/>
              </w:rPr>
            </w:pPr>
            <w:r w:rsidRPr="4D65ED4F">
              <w:rPr>
                <w:rFonts w:ascii="Arial" w:hAnsi="Arial" w:cs="Arial"/>
              </w:rPr>
              <w:t>T</w:t>
            </w:r>
            <w:r w:rsidR="6BB16618" w:rsidRPr="4D65ED4F">
              <w:rPr>
                <w:rFonts w:ascii="Arial" w:hAnsi="Arial" w:cs="Arial"/>
              </w:rPr>
              <w:t xml:space="preserve">his is the </w:t>
            </w:r>
            <w:r w:rsidR="001B110F">
              <w:rPr>
                <w:rFonts w:ascii="Arial" w:hAnsi="Arial" w:cs="Arial"/>
              </w:rPr>
              <w:t xml:space="preserve">third </w:t>
            </w:r>
            <w:r w:rsidR="6BB16618" w:rsidRPr="4D65ED4F">
              <w:rPr>
                <w:rFonts w:ascii="Arial" w:hAnsi="Arial" w:cs="Arial"/>
              </w:rPr>
              <w:t xml:space="preserve">tranche of funding in </w:t>
            </w:r>
            <w:r w:rsidR="002C07CD">
              <w:rPr>
                <w:rFonts w:ascii="Arial" w:hAnsi="Arial" w:cs="Arial"/>
              </w:rPr>
              <w:t>R</w:t>
            </w:r>
            <w:r w:rsidR="6BB16618" w:rsidRPr="4D65ED4F">
              <w:rPr>
                <w:rFonts w:ascii="Arial" w:hAnsi="Arial" w:cs="Arial"/>
              </w:rPr>
              <w:t>ound 2 of the PFCC’s Fund. The PFCC encouraged bids from areas that ha</w:t>
            </w:r>
            <w:r w:rsidR="3ACCB441" w:rsidRPr="4D65ED4F">
              <w:rPr>
                <w:rFonts w:ascii="Arial" w:hAnsi="Arial" w:cs="Arial"/>
              </w:rPr>
              <w:t xml:space="preserve">d not yet received any Home Office or Local Safer Streets funding. Castle Point is one of only </w:t>
            </w:r>
            <w:r w:rsidR="006D145F">
              <w:rPr>
                <w:rFonts w:ascii="Arial" w:hAnsi="Arial" w:cs="Arial"/>
              </w:rPr>
              <w:t>two</w:t>
            </w:r>
            <w:r w:rsidR="3ACCB441" w:rsidRPr="4D65ED4F">
              <w:rPr>
                <w:rFonts w:ascii="Arial" w:hAnsi="Arial" w:cs="Arial"/>
              </w:rPr>
              <w:t xml:space="preserve"> areas (</w:t>
            </w:r>
            <w:r w:rsidR="006D145F">
              <w:rPr>
                <w:rFonts w:ascii="Arial" w:hAnsi="Arial" w:cs="Arial"/>
              </w:rPr>
              <w:t xml:space="preserve">the other being </w:t>
            </w:r>
            <w:r w:rsidR="3ACCB441" w:rsidRPr="4D65ED4F">
              <w:rPr>
                <w:rFonts w:ascii="Arial" w:hAnsi="Arial" w:cs="Arial"/>
              </w:rPr>
              <w:t>Uttlesford) that have not yet benefitted from Safer Streets investment.</w:t>
            </w:r>
          </w:p>
          <w:p w14:paraId="594A3827" w14:textId="3B810B3D" w:rsidR="00412567" w:rsidRPr="00412567" w:rsidRDefault="3ACCB441" w:rsidP="4D65ED4F">
            <w:pPr>
              <w:pStyle w:val="BodyText"/>
              <w:spacing w:before="240" w:after="240"/>
              <w:jc w:val="both"/>
              <w:rPr>
                <w:rFonts w:ascii="Arial" w:hAnsi="Arial" w:cs="Arial"/>
              </w:rPr>
            </w:pPr>
            <w:r w:rsidRPr="4D65ED4F">
              <w:rPr>
                <w:rFonts w:ascii="Arial" w:hAnsi="Arial" w:cs="Arial"/>
              </w:rPr>
              <w:t>The PFCC continues to engage Uttlesford CSP to elicit an application for work in that district.</w:t>
            </w:r>
          </w:p>
        </w:tc>
      </w:tr>
      <w:tr w:rsidR="00E72A64" w:rsidRPr="003652B9" w14:paraId="6D39E712" w14:textId="77777777" w:rsidTr="4D65ED4F">
        <w:tc>
          <w:tcPr>
            <w:tcW w:w="9209" w:type="dxa"/>
            <w:gridSpan w:val="4"/>
            <w:tcBorders>
              <w:top w:val="nil"/>
              <w:left w:val="nil"/>
              <w:bottom w:val="nil"/>
              <w:right w:val="nil"/>
            </w:tcBorders>
            <w:shd w:val="clear" w:color="auto" w:fill="0000FF"/>
          </w:tcPr>
          <w:p w14:paraId="670CB2F2" w14:textId="77777777" w:rsidR="00E72A64" w:rsidRPr="003652B9" w:rsidRDefault="00E72A64" w:rsidP="00CE0907">
            <w:pPr>
              <w:spacing w:before="120" w:after="120"/>
              <w:rPr>
                <w:rFonts w:ascii="Arial" w:hAnsi="Arial" w:cs="Arial"/>
                <w:b/>
                <w:color w:val="FFFFFF"/>
                <w:sz w:val="24"/>
                <w:szCs w:val="24"/>
              </w:rPr>
            </w:pPr>
            <w:r w:rsidRPr="003652B9">
              <w:rPr>
                <w:rFonts w:ascii="Arial" w:hAnsi="Arial" w:cs="Arial"/>
                <w:b/>
                <w:color w:val="FFFFFF"/>
                <w:sz w:val="24"/>
                <w:szCs w:val="24"/>
              </w:rPr>
              <w:t>Stage 3- Assessment of impact</w:t>
            </w:r>
          </w:p>
        </w:tc>
      </w:tr>
      <w:tr w:rsidR="00E72A64" w:rsidRPr="003652B9" w14:paraId="4F1EB281" w14:textId="77777777" w:rsidTr="4D65ED4F">
        <w:tc>
          <w:tcPr>
            <w:tcW w:w="3510" w:type="dxa"/>
            <w:gridSpan w:val="2"/>
            <w:tcBorders>
              <w:top w:val="single" w:sz="4" w:space="0" w:color="auto"/>
              <w:left w:val="single" w:sz="4" w:space="0" w:color="auto"/>
              <w:bottom w:val="single" w:sz="4" w:space="0" w:color="auto"/>
            </w:tcBorders>
            <w:shd w:val="clear" w:color="auto" w:fill="auto"/>
            <w:vAlign w:val="center"/>
          </w:tcPr>
          <w:p w14:paraId="616292BA" w14:textId="77777777" w:rsidR="00E72A64" w:rsidRPr="003652B9" w:rsidRDefault="00E72A64" w:rsidP="00CE0907">
            <w:pPr>
              <w:spacing w:before="120" w:after="120"/>
              <w:rPr>
                <w:rFonts w:ascii="Arial" w:hAnsi="Arial" w:cs="Arial"/>
                <w:sz w:val="24"/>
                <w:szCs w:val="24"/>
              </w:rPr>
            </w:pPr>
          </w:p>
        </w:tc>
        <w:tc>
          <w:tcPr>
            <w:tcW w:w="720" w:type="dxa"/>
            <w:tcBorders>
              <w:top w:val="single" w:sz="4" w:space="0" w:color="auto"/>
              <w:bottom w:val="single" w:sz="4" w:space="0" w:color="auto"/>
            </w:tcBorders>
            <w:shd w:val="clear" w:color="auto" w:fill="auto"/>
            <w:vAlign w:val="center"/>
          </w:tcPr>
          <w:p w14:paraId="1DA3C6B5" w14:textId="77777777" w:rsidR="00E72A64" w:rsidRPr="003652B9" w:rsidRDefault="00E72A64" w:rsidP="4D65ED4F">
            <w:pPr>
              <w:spacing w:before="120" w:after="120"/>
              <w:jc w:val="center"/>
              <w:rPr>
                <w:rFonts w:ascii="Arial" w:hAnsi="Arial" w:cs="Arial"/>
                <w:b/>
                <w:bCs/>
                <w:sz w:val="24"/>
                <w:szCs w:val="24"/>
              </w:rPr>
            </w:pPr>
            <w:r w:rsidRPr="4D65ED4F">
              <w:rPr>
                <w:rFonts w:ascii="Arial" w:hAnsi="Arial" w:cs="Arial"/>
                <w:b/>
                <w:bCs/>
                <w:sz w:val="24"/>
                <w:szCs w:val="24"/>
              </w:rPr>
              <w:t>Yes/No</w:t>
            </w:r>
          </w:p>
        </w:tc>
        <w:tc>
          <w:tcPr>
            <w:tcW w:w="4979" w:type="dxa"/>
            <w:tcBorders>
              <w:top w:val="single" w:sz="4" w:space="0" w:color="auto"/>
              <w:bottom w:val="single" w:sz="4" w:space="0" w:color="auto"/>
            </w:tcBorders>
            <w:shd w:val="clear" w:color="auto" w:fill="auto"/>
            <w:vAlign w:val="center"/>
          </w:tcPr>
          <w:p w14:paraId="2F0ADF21" w14:textId="77777777" w:rsidR="00E72A64" w:rsidRPr="003652B9" w:rsidRDefault="00E72A64" w:rsidP="4D65ED4F">
            <w:pPr>
              <w:spacing w:before="120" w:after="120"/>
              <w:jc w:val="center"/>
              <w:rPr>
                <w:rFonts w:ascii="Arial" w:hAnsi="Arial" w:cs="Arial"/>
                <w:b/>
                <w:bCs/>
                <w:sz w:val="24"/>
                <w:szCs w:val="24"/>
              </w:rPr>
            </w:pPr>
            <w:r w:rsidRPr="4D65ED4F">
              <w:rPr>
                <w:rFonts w:ascii="Arial" w:hAnsi="Arial" w:cs="Arial"/>
                <w:b/>
                <w:bCs/>
                <w:sz w:val="24"/>
                <w:szCs w:val="24"/>
              </w:rPr>
              <w:t>Comments and evidence where appropriate</w:t>
            </w:r>
          </w:p>
        </w:tc>
      </w:tr>
      <w:tr w:rsidR="00E72A64" w:rsidRPr="003652B9" w14:paraId="3B092244" w14:textId="77777777" w:rsidTr="4D65ED4F">
        <w:tc>
          <w:tcPr>
            <w:tcW w:w="1575"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67B2DD92" w14:textId="77777777" w:rsidR="00E72A64" w:rsidRPr="003652B9" w:rsidRDefault="00E72A64" w:rsidP="4D65ED4F">
            <w:pPr>
              <w:spacing w:before="120" w:after="120"/>
              <w:jc w:val="center"/>
              <w:rPr>
                <w:rFonts w:ascii="Arial" w:hAnsi="Arial" w:cs="Arial"/>
                <w:b/>
                <w:bCs/>
                <w:sz w:val="24"/>
                <w:szCs w:val="24"/>
              </w:rPr>
            </w:pPr>
            <w:r w:rsidRPr="4D65ED4F">
              <w:rPr>
                <w:rFonts w:ascii="Arial" w:hAnsi="Arial" w:cs="Arial"/>
                <w:b/>
                <w:bCs/>
                <w:sz w:val="24"/>
                <w:szCs w:val="24"/>
              </w:rPr>
              <w:t xml:space="preserve">Potential for differential/ adverse impact based on analysis of data and information </w:t>
            </w:r>
          </w:p>
        </w:tc>
        <w:tc>
          <w:tcPr>
            <w:tcW w:w="1935" w:type="dxa"/>
            <w:tcBorders>
              <w:top w:val="single" w:sz="4" w:space="0" w:color="auto"/>
              <w:left w:val="single" w:sz="4" w:space="0" w:color="auto"/>
            </w:tcBorders>
            <w:shd w:val="clear" w:color="auto" w:fill="D9D9D9" w:themeFill="background1" w:themeFillShade="D9"/>
            <w:vAlign w:val="center"/>
          </w:tcPr>
          <w:p w14:paraId="53EB1AA8"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Race</w:t>
            </w:r>
          </w:p>
        </w:tc>
        <w:tc>
          <w:tcPr>
            <w:tcW w:w="720" w:type="dxa"/>
            <w:shd w:val="clear" w:color="auto" w:fill="auto"/>
            <w:vAlign w:val="center"/>
          </w:tcPr>
          <w:p w14:paraId="7D6A7917" w14:textId="7F6D92E9" w:rsidR="00E72A64" w:rsidRPr="003652B9" w:rsidRDefault="37609BF0" w:rsidP="4D65ED4F">
            <w:pPr>
              <w:spacing w:before="60" w:after="60"/>
              <w:jc w:val="center"/>
              <w:rPr>
                <w:rFonts w:ascii="Arial" w:hAnsi="Arial" w:cs="Arial"/>
                <w:sz w:val="24"/>
                <w:szCs w:val="24"/>
              </w:rPr>
            </w:pPr>
            <w:r w:rsidRPr="4D65ED4F">
              <w:rPr>
                <w:rFonts w:ascii="Arial" w:hAnsi="Arial" w:cs="Arial"/>
                <w:sz w:val="24"/>
                <w:szCs w:val="24"/>
              </w:rPr>
              <w:t>Y</w:t>
            </w:r>
          </w:p>
        </w:tc>
        <w:tc>
          <w:tcPr>
            <w:tcW w:w="4979" w:type="dxa"/>
            <w:vMerge w:val="restart"/>
            <w:shd w:val="clear" w:color="auto" w:fill="auto"/>
            <w:vAlign w:val="center"/>
          </w:tcPr>
          <w:p w14:paraId="252C080A" w14:textId="16B7B386" w:rsidR="00E72A64" w:rsidRPr="00DC0B10" w:rsidRDefault="37609BF0" w:rsidP="4D65ED4F">
            <w:pPr>
              <w:autoSpaceDE w:val="0"/>
              <w:autoSpaceDN w:val="0"/>
              <w:adjustRightInd w:val="0"/>
              <w:spacing w:before="240" w:after="240"/>
              <w:rPr>
                <w:rFonts w:ascii="Arial" w:hAnsi="Arial" w:cs="Arial"/>
                <w:sz w:val="24"/>
                <w:szCs w:val="24"/>
              </w:rPr>
            </w:pPr>
            <w:r w:rsidRPr="4D65ED4F">
              <w:rPr>
                <w:rFonts w:ascii="Arial" w:hAnsi="Arial" w:cs="Arial"/>
                <w:sz w:val="24"/>
                <w:szCs w:val="24"/>
              </w:rPr>
              <w:t xml:space="preserve">There is potential for individuals to be victims of hate crime because of their protected characteristics. By </w:t>
            </w:r>
            <w:r w:rsidR="3456CCBB" w:rsidRPr="4D65ED4F">
              <w:rPr>
                <w:rFonts w:ascii="Arial" w:hAnsi="Arial" w:cs="Arial"/>
                <w:sz w:val="24"/>
                <w:szCs w:val="24"/>
              </w:rPr>
              <w:t xml:space="preserve">implementing </w:t>
            </w:r>
            <w:r w:rsidR="3456CCBB" w:rsidRPr="4D65ED4F">
              <w:rPr>
                <w:rFonts w:ascii="Arial" w:hAnsi="Arial" w:cs="Arial"/>
                <w:sz w:val="24"/>
                <w:szCs w:val="24"/>
              </w:rPr>
              <w:lastRenderedPageBreak/>
              <w:t xml:space="preserve">these projects it is hoped that the opportunity for crime, including targeted hate crime in public places, could be reduced. </w:t>
            </w:r>
          </w:p>
          <w:p w14:paraId="50AAA216" w14:textId="46F2AC05" w:rsidR="00E72A64" w:rsidRPr="00DC0B10" w:rsidRDefault="5D8C5668" w:rsidP="4D65ED4F">
            <w:pPr>
              <w:autoSpaceDE w:val="0"/>
              <w:autoSpaceDN w:val="0"/>
              <w:adjustRightInd w:val="0"/>
              <w:spacing w:before="240" w:after="240"/>
              <w:rPr>
                <w:rFonts w:ascii="Arial" w:hAnsi="Arial" w:cs="Arial"/>
                <w:sz w:val="24"/>
                <w:szCs w:val="24"/>
              </w:rPr>
            </w:pPr>
            <w:r w:rsidRPr="4D65ED4F">
              <w:rPr>
                <w:rFonts w:ascii="Arial" w:hAnsi="Arial" w:cs="Arial"/>
                <w:sz w:val="24"/>
                <w:szCs w:val="24"/>
              </w:rPr>
              <w:t xml:space="preserve">Some of the projects and proposals within this programme focus specifically on violence against women and girls. This is </w:t>
            </w:r>
            <w:r w:rsidR="0B2E2B91" w:rsidRPr="4D65ED4F">
              <w:rPr>
                <w:rFonts w:ascii="Arial" w:hAnsi="Arial" w:cs="Arial"/>
                <w:sz w:val="24"/>
                <w:szCs w:val="24"/>
              </w:rPr>
              <w:t xml:space="preserve">a deliberate decision to target a cohort which disproportionately experiences a higher level of </w:t>
            </w:r>
            <w:r w:rsidR="7593F48D" w:rsidRPr="4D65ED4F">
              <w:rPr>
                <w:rFonts w:ascii="Arial" w:hAnsi="Arial" w:cs="Arial"/>
                <w:sz w:val="24"/>
                <w:szCs w:val="24"/>
              </w:rPr>
              <w:t>harm and fear of crime. An example of one of the projects to support women and girls is the University of Essex sexual abuse support hub</w:t>
            </w:r>
            <w:r w:rsidR="41647640" w:rsidRPr="4D65ED4F">
              <w:rPr>
                <w:rFonts w:ascii="Arial" w:hAnsi="Arial" w:cs="Arial"/>
                <w:sz w:val="24"/>
                <w:szCs w:val="24"/>
              </w:rPr>
              <w:t xml:space="preserve"> for women who may have experienced sexual abuse. The Chelmsford SOS bus is also a project that may target women and girls by ensuring they feel safe, and are safe, in the night</w:t>
            </w:r>
            <w:r w:rsidR="00C85FB4">
              <w:rPr>
                <w:rFonts w:ascii="Arial" w:hAnsi="Arial" w:cs="Arial"/>
                <w:sz w:val="24"/>
                <w:szCs w:val="24"/>
              </w:rPr>
              <w:t>-</w:t>
            </w:r>
            <w:r w:rsidR="41647640" w:rsidRPr="4D65ED4F">
              <w:rPr>
                <w:rFonts w:ascii="Arial" w:hAnsi="Arial" w:cs="Arial"/>
                <w:sz w:val="24"/>
                <w:szCs w:val="24"/>
              </w:rPr>
              <w:t>time economy.</w:t>
            </w:r>
          </w:p>
          <w:p w14:paraId="6FD49E69" w14:textId="27544FCD" w:rsidR="00E72A64" w:rsidRPr="00DC0B10" w:rsidRDefault="41647640" w:rsidP="4D65ED4F">
            <w:pPr>
              <w:autoSpaceDE w:val="0"/>
              <w:autoSpaceDN w:val="0"/>
              <w:adjustRightInd w:val="0"/>
              <w:spacing w:before="240" w:after="240"/>
              <w:rPr>
                <w:rFonts w:ascii="Arial" w:hAnsi="Arial" w:cs="Arial"/>
                <w:sz w:val="24"/>
                <w:szCs w:val="24"/>
              </w:rPr>
            </w:pPr>
            <w:r w:rsidRPr="4D65ED4F">
              <w:rPr>
                <w:rFonts w:ascii="Arial" w:hAnsi="Arial" w:cs="Arial"/>
                <w:sz w:val="24"/>
                <w:szCs w:val="24"/>
              </w:rPr>
              <w:t>Other projects that t</w:t>
            </w:r>
            <w:r w:rsidR="3241A35D" w:rsidRPr="4D65ED4F">
              <w:rPr>
                <w:rFonts w:ascii="Arial" w:hAnsi="Arial" w:cs="Arial"/>
                <w:sz w:val="24"/>
                <w:szCs w:val="24"/>
              </w:rPr>
              <w:t>arget a particular cohort include the Sanctus project that supports individuals with mental health issues that are homeless</w:t>
            </w:r>
            <w:r w:rsidR="4BE5ECB4" w:rsidRPr="4D65ED4F">
              <w:rPr>
                <w:rFonts w:ascii="Arial" w:hAnsi="Arial" w:cs="Arial"/>
                <w:sz w:val="24"/>
                <w:szCs w:val="24"/>
              </w:rPr>
              <w:t>.</w:t>
            </w:r>
          </w:p>
          <w:p w14:paraId="506E85A0" w14:textId="41FDD9C3" w:rsidR="00E72A64" w:rsidRPr="00DC0B10" w:rsidRDefault="4BE5ECB4" w:rsidP="4D65ED4F">
            <w:pPr>
              <w:autoSpaceDE w:val="0"/>
              <w:autoSpaceDN w:val="0"/>
              <w:adjustRightInd w:val="0"/>
              <w:spacing w:before="240" w:after="240"/>
              <w:rPr>
                <w:rFonts w:ascii="Arial" w:hAnsi="Arial" w:cs="Arial"/>
                <w:sz w:val="24"/>
                <w:szCs w:val="24"/>
              </w:rPr>
            </w:pPr>
            <w:r w:rsidRPr="4D65ED4F">
              <w:rPr>
                <w:rFonts w:ascii="Arial" w:hAnsi="Arial" w:cs="Arial"/>
                <w:sz w:val="24"/>
                <w:szCs w:val="24"/>
              </w:rPr>
              <w:t xml:space="preserve">Finally, </w:t>
            </w:r>
            <w:r w:rsidR="2502D9C0" w:rsidRPr="4D65ED4F">
              <w:rPr>
                <w:rFonts w:ascii="Arial" w:hAnsi="Arial" w:cs="Arial"/>
                <w:sz w:val="24"/>
                <w:szCs w:val="24"/>
              </w:rPr>
              <w:t>there are projects that target young people through the provision of youth clubs. These include Upshire, Team Kinetix, Wellbeing at Garon Park</w:t>
            </w:r>
            <w:r w:rsidR="0FC1E00E" w:rsidRPr="4D65ED4F">
              <w:rPr>
                <w:rFonts w:ascii="Arial" w:hAnsi="Arial" w:cs="Arial"/>
                <w:sz w:val="24"/>
                <w:szCs w:val="24"/>
              </w:rPr>
              <w:t>, and UTurn4Support.</w:t>
            </w:r>
          </w:p>
        </w:tc>
      </w:tr>
      <w:tr w:rsidR="00E72A64" w:rsidRPr="003652B9" w14:paraId="6479290A" w14:textId="77777777" w:rsidTr="4D65ED4F">
        <w:trPr>
          <w:trHeight w:val="689"/>
        </w:trPr>
        <w:tc>
          <w:tcPr>
            <w:tcW w:w="1575" w:type="dxa"/>
            <w:vMerge/>
            <w:vAlign w:val="center"/>
          </w:tcPr>
          <w:p w14:paraId="68746E0E"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tcBorders>
            <w:shd w:val="clear" w:color="auto" w:fill="D9D9D9" w:themeFill="background1" w:themeFillShade="D9"/>
            <w:vAlign w:val="center"/>
          </w:tcPr>
          <w:p w14:paraId="55AF09BE"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Disability</w:t>
            </w:r>
            <w:r>
              <w:rPr>
                <w:rFonts w:ascii="Arial" w:hAnsi="Arial" w:cs="Arial"/>
                <w:b/>
                <w:sz w:val="24"/>
                <w:szCs w:val="24"/>
              </w:rPr>
              <w:t xml:space="preserve"> (Including physical, </w:t>
            </w:r>
            <w:r>
              <w:rPr>
                <w:rFonts w:ascii="Arial" w:hAnsi="Arial" w:cs="Arial"/>
                <w:b/>
                <w:sz w:val="24"/>
                <w:szCs w:val="24"/>
              </w:rPr>
              <w:lastRenderedPageBreak/>
              <w:t>sensory and mental health)</w:t>
            </w:r>
          </w:p>
        </w:tc>
        <w:tc>
          <w:tcPr>
            <w:tcW w:w="720" w:type="dxa"/>
            <w:shd w:val="clear" w:color="auto" w:fill="auto"/>
            <w:vAlign w:val="center"/>
          </w:tcPr>
          <w:p w14:paraId="3715A520" w14:textId="586F99C6" w:rsidR="00E72A64" w:rsidRPr="003652B9" w:rsidRDefault="1A0C1B58" w:rsidP="4D65ED4F">
            <w:pPr>
              <w:spacing w:before="60" w:after="60"/>
              <w:jc w:val="center"/>
              <w:rPr>
                <w:rFonts w:ascii="Arial" w:hAnsi="Arial" w:cs="Arial"/>
                <w:sz w:val="24"/>
                <w:szCs w:val="24"/>
              </w:rPr>
            </w:pPr>
            <w:r w:rsidRPr="4D65ED4F">
              <w:rPr>
                <w:rFonts w:ascii="Arial" w:hAnsi="Arial" w:cs="Arial"/>
                <w:sz w:val="24"/>
                <w:szCs w:val="24"/>
              </w:rPr>
              <w:lastRenderedPageBreak/>
              <w:t>Y</w:t>
            </w:r>
          </w:p>
        </w:tc>
        <w:tc>
          <w:tcPr>
            <w:tcW w:w="4979" w:type="dxa"/>
            <w:vMerge/>
            <w:vAlign w:val="center"/>
          </w:tcPr>
          <w:p w14:paraId="546C9411" w14:textId="77777777" w:rsidR="00E72A64" w:rsidRPr="003652B9" w:rsidRDefault="00E72A64" w:rsidP="00CE0907">
            <w:pPr>
              <w:spacing w:before="60" w:after="60"/>
              <w:rPr>
                <w:rFonts w:ascii="Arial" w:hAnsi="Arial" w:cs="Arial"/>
                <w:sz w:val="24"/>
                <w:szCs w:val="24"/>
              </w:rPr>
            </w:pPr>
          </w:p>
        </w:tc>
      </w:tr>
      <w:tr w:rsidR="00E72A64" w:rsidRPr="003652B9" w14:paraId="41E9734F" w14:textId="77777777" w:rsidTr="4D65ED4F">
        <w:trPr>
          <w:trHeight w:val="726"/>
        </w:trPr>
        <w:tc>
          <w:tcPr>
            <w:tcW w:w="1575" w:type="dxa"/>
            <w:vMerge/>
            <w:vAlign w:val="center"/>
          </w:tcPr>
          <w:p w14:paraId="17284ECF"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tcBorders>
            <w:shd w:val="clear" w:color="auto" w:fill="D9D9D9" w:themeFill="background1" w:themeFillShade="D9"/>
            <w:vAlign w:val="center"/>
          </w:tcPr>
          <w:p w14:paraId="00641D71"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Gender reassignment</w:t>
            </w:r>
          </w:p>
        </w:tc>
        <w:tc>
          <w:tcPr>
            <w:tcW w:w="720" w:type="dxa"/>
            <w:shd w:val="clear" w:color="auto" w:fill="auto"/>
            <w:vAlign w:val="center"/>
          </w:tcPr>
          <w:p w14:paraId="1BCA1B0B" w14:textId="4C6B2A5A" w:rsidR="00E72A64" w:rsidRPr="003652B9" w:rsidRDefault="1A0C1B58" w:rsidP="4D65ED4F">
            <w:pPr>
              <w:spacing w:before="60" w:after="60"/>
              <w:jc w:val="center"/>
              <w:rPr>
                <w:rFonts w:ascii="Arial" w:hAnsi="Arial" w:cs="Arial"/>
                <w:sz w:val="24"/>
                <w:szCs w:val="24"/>
              </w:rPr>
            </w:pPr>
            <w:r w:rsidRPr="4D65ED4F">
              <w:rPr>
                <w:rFonts w:ascii="Arial" w:hAnsi="Arial" w:cs="Arial"/>
                <w:sz w:val="24"/>
                <w:szCs w:val="24"/>
              </w:rPr>
              <w:t>Y</w:t>
            </w:r>
          </w:p>
        </w:tc>
        <w:tc>
          <w:tcPr>
            <w:tcW w:w="4979" w:type="dxa"/>
            <w:vMerge/>
            <w:vAlign w:val="center"/>
          </w:tcPr>
          <w:p w14:paraId="337C482B" w14:textId="77777777" w:rsidR="00E72A64" w:rsidRPr="003652B9" w:rsidRDefault="00E72A64" w:rsidP="00CE0907">
            <w:pPr>
              <w:spacing w:before="60" w:after="60"/>
              <w:rPr>
                <w:rFonts w:ascii="Arial" w:hAnsi="Arial" w:cs="Arial"/>
                <w:sz w:val="24"/>
                <w:szCs w:val="24"/>
              </w:rPr>
            </w:pPr>
          </w:p>
        </w:tc>
      </w:tr>
      <w:tr w:rsidR="00E72A64" w:rsidRPr="003652B9" w14:paraId="32ADFB6F" w14:textId="77777777" w:rsidTr="4D65ED4F">
        <w:trPr>
          <w:trHeight w:val="690"/>
        </w:trPr>
        <w:tc>
          <w:tcPr>
            <w:tcW w:w="1575" w:type="dxa"/>
            <w:vMerge/>
            <w:vAlign w:val="center"/>
          </w:tcPr>
          <w:p w14:paraId="33F987CC"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tcBorders>
            <w:shd w:val="clear" w:color="auto" w:fill="D9D9D9" w:themeFill="background1" w:themeFillShade="D9"/>
            <w:vAlign w:val="center"/>
          </w:tcPr>
          <w:p w14:paraId="06DB7EBF"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Age</w:t>
            </w:r>
          </w:p>
        </w:tc>
        <w:tc>
          <w:tcPr>
            <w:tcW w:w="720" w:type="dxa"/>
            <w:shd w:val="clear" w:color="auto" w:fill="auto"/>
            <w:vAlign w:val="center"/>
          </w:tcPr>
          <w:p w14:paraId="2D9A0C80" w14:textId="4644AE57" w:rsidR="00E72A64" w:rsidRPr="003652B9" w:rsidRDefault="1A0C1B58" w:rsidP="4D65ED4F">
            <w:pPr>
              <w:spacing w:before="60" w:after="60"/>
              <w:jc w:val="center"/>
              <w:rPr>
                <w:rFonts w:ascii="Arial" w:hAnsi="Arial" w:cs="Arial"/>
                <w:sz w:val="24"/>
                <w:szCs w:val="24"/>
              </w:rPr>
            </w:pPr>
            <w:r w:rsidRPr="4D65ED4F">
              <w:rPr>
                <w:rFonts w:ascii="Arial" w:hAnsi="Arial" w:cs="Arial"/>
                <w:sz w:val="24"/>
                <w:szCs w:val="24"/>
              </w:rPr>
              <w:t>Y</w:t>
            </w:r>
          </w:p>
        </w:tc>
        <w:tc>
          <w:tcPr>
            <w:tcW w:w="4979" w:type="dxa"/>
            <w:vMerge/>
            <w:vAlign w:val="center"/>
          </w:tcPr>
          <w:p w14:paraId="09DE5D4D" w14:textId="77777777" w:rsidR="00E72A64" w:rsidRPr="003652B9" w:rsidRDefault="00E72A64" w:rsidP="00CE0907">
            <w:pPr>
              <w:spacing w:before="60" w:after="60"/>
              <w:rPr>
                <w:rFonts w:ascii="Arial" w:hAnsi="Arial" w:cs="Arial"/>
                <w:sz w:val="24"/>
                <w:szCs w:val="24"/>
              </w:rPr>
            </w:pPr>
          </w:p>
        </w:tc>
      </w:tr>
      <w:tr w:rsidR="00E72A64" w:rsidRPr="003652B9" w14:paraId="17A5F63A" w14:textId="77777777" w:rsidTr="4D65ED4F">
        <w:trPr>
          <w:trHeight w:val="710"/>
        </w:trPr>
        <w:tc>
          <w:tcPr>
            <w:tcW w:w="1575" w:type="dxa"/>
            <w:vMerge/>
            <w:vAlign w:val="center"/>
          </w:tcPr>
          <w:p w14:paraId="5793AE75"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tcBorders>
            <w:shd w:val="clear" w:color="auto" w:fill="D9D9D9" w:themeFill="background1" w:themeFillShade="D9"/>
            <w:vAlign w:val="center"/>
          </w:tcPr>
          <w:p w14:paraId="5798B63D"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Religion or belief</w:t>
            </w:r>
          </w:p>
        </w:tc>
        <w:tc>
          <w:tcPr>
            <w:tcW w:w="720" w:type="dxa"/>
            <w:tcBorders>
              <w:bottom w:val="single" w:sz="4" w:space="0" w:color="auto"/>
            </w:tcBorders>
            <w:shd w:val="clear" w:color="auto" w:fill="auto"/>
            <w:vAlign w:val="center"/>
          </w:tcPr>
          <w:p w14:paraId="1894260B" w14:textId="723747F8" w:rsidR="00E72A64" w:rsidRPr="003652B9" w:rsidRDefault="00ECF16F" w:rsidP="4D65ED4F">
            <w:pPr>
              <w:spacing w:before="60" w:after="60"/>
              <w:jc w:val="center"/>
            </w:pPr>
            <w:r w:rsidRPr="4D65ED4F">
              <w:rPr>
                <w:rFonts w:ascii="Arial" w:hAnsi="Arial" w:cs="Arial"/>
                <w:sz w:val="24"/>
                <w:szCs w:val="24"/>
              </w:rPr>
              <w:t>Y</w:t>
            </w:r>
          </w:p>
        </w:tc>
        <w:tc>
          <w:tcPr>
            <w:tcW w:w="4979" w:type="dxa"/>
            <w:vMerge/>
            <w:vAlign w:val="center"/>
          </w:tcPr>
          <w:p w14:paraId="06842C59" w14:textId="77777777" w:rsidR="00E72A64" w:rsidRPr="003652B9" w:rsidRDefault="00E72A64" w:rsidP="00CE0907">
            <w:pPr>
              <w:spacing w:before="60" w:after="60"/>
              <w:rPr>
                <w:rFonts w:ascii="Arial" w:hAnsi="Arial" w:cs="Arial"/>
                <w:sz w:val="24"/>
                <w:szCs w:val="24"/>
              </w:rPr>
            </w:pPr>
          </w:p>
        </w:tc>
      </w:tr>
      <w:tr w:rsidR="00E72A64" w:rsidRPr="003652B9" w14:paraId="5CEEFD1A" w14:textId="77777777" w:rsidTr="4D65ED4F">
        <w:trPr>
          <w:trHeight w:val="716"/>
        </w:trPr>
        <w:tc>
          <w:tcPr>
            <w:tcW w:w="1575" w:type="dxa"/>
            <w:vMerge/>
            <w:vAlign w:val="center"/>
          </w:tcPr>
          <w:p w14:paraId="54E3C2C5"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bottom w:val="single" w:sz="4" w:space="0" w:color="auto"/>
            </w:tcBorders>
            <w:shd w:val="clear" w:color="auto" w:fill="D9D9D9" w:themeFill="background1" w:themeFillShade="D9"/>
            <w:vAlign w:val="center"/>
          </w:tcPr>
          <w:p w14:paraId="40B3E625"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Sexual orientation</w:t>
            </w:r>
          </w:p>
        </w:tc>
        <w:tc>
          <w:tcPr>
            <w:tcW w:w="720" w:type="dxa"/>
            <w:tcBorders>
              <w:bottom w:val="single" w:sz="4" w:space="0" w:color="auto"/>
            </w:tcBorders>
            <w:shd w:val="clear" w:color="auto" w:fill="auto"/>
            <w:vAlign w:val="center"/>
          </w:tcPr>
          <w:p w14:paraId="5090E678" w14:textId="7B8ED39F" w:rsidR="00E72A64" w:rsidRPr="003652B9" w:rsidRDefault="1A0C1B58" w:rsidP="4D65ED4F">
            <w:pPr>
              <w:spacing w:before="60" w:after="60"/>
              <w:jc w:val="center"/>
              <w:rPr>
                <w:rFonts w:ascii="Arial" w:hAnsi="Arial" w:cs="Arial"/>
                <w:sz w:val="24"/>
                <w:szCs w:val="24"/>
              </w:rPr>
            </w:pPr>
            <w:r w:rsidRPr="4D65ED4F">
              <w:rPr>
                <w:rFonts w:ascii="Arial" w:hAnsi="Arial" w:cs="Arial"/>
                <w:sz w:val="24"/>
                <w:szCs w:val="24"/>
              </w:rPr>
              <w:t>Y</w:t>
            </w:r>
          </w:p>
        </w:tc>
        <w:tc>
          <w:tcPr>
            <w:tcW w:w="4979" w:type="dxa"/>
            <w:vMerge/>
            <w:vAlign w:val="center"/>
          </w:tcPr>
          <w:p w14:paraId="61E658F1" w14:textId="77777777" w:rsidR="00E72A64" w:rsidRPr="003652B9" w:rsidRDefault="00E72A64" w:rsidP="00CE0907">
            <w:pPr>
              <w:spacing w:before="60" w:after="60"/>
              <w:rPr>
                <w:rFonts w:ascii="Arial" w:hAnsi="Arial" w:cs="Arial"/>
                <w:sz w:val="24"/>
                <w:szCs w:val="24"/>
              </w:rPr>
            </w:pPr>
          </w:p>
        </w:tc>
      </w:tr>
      <w:tr w:rsidR="00E72A64" w:rsidRPr="003652B9" w14:paraId="396ED876" w14:textId="77777777" w:rsidTr="4D65ED4F">
        <w:trPr>
          <w:trHeight w:val="734"/>
        </w:trPr>
        <w:tc>
          <w:tcPr>
            <w:tcW w:w="1575" w:type="dxa"/>
            <w:vMerge/>
            <w:vAlign w:val="center"/>
          </w:tcPr>
          <w:p w14:paraId="5770A955"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bottom w:val="single" w:sz="4" w:space="0" w:color="auto"/>
            </w:tcBorders>
            <w:shd w:val="clear" w:color="auto" w:fill="D9D9D9" w:themeFill="background1" w:themeFillShade="D9"/>
            <w:vAlign w:val="center"/>
          </w:tcPr>
          <w:p w14:paraId="181D0862"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Pregnancy and maternity</w:t>
            </w:r>
          </w:p>
        </w:tc>
        <w:tc>
          <w:tcPr>
            <w:tcW w:w="720" w:type="dxa"/>
            <w:tcBorders>
              <w:bottom w:val="single" w:sz="4" w:space="0" w:color="auto"/>
            </w:tcBorders>
            <w:shd w:val="clear" w:color="auto" w:fill="auto"/>
            <w:vAlign w:val="center"/>
          </w:tcPr>
          <w:p w14:paraId="2CD75DA9" w14:textId="31596948" w:rsidR="00E72A64" w:rsidRPr="003652B9" w:rsidRDefault="1A0C1B58" w:rsidP="4D65ED4F">
            <w:pPr>
              <w:spacing w:before="60" w:after="60"/>
              <w:jc w:val="center"/>
              <w:rPr>
                <w:rFonts w:ascii="Arial" w:hAnsi="Arial" w:cs="Arial"/>
                <w:sz w:val="24"/>
                <w:szCs w:val="24"/>
              </w:rPr>
            </w:pPr>
            <w:r w:rsidRPr="4D65ED4F">
              <w:rPr>
                <w:rFonts w:ascii="Arial" w:hAnsi="Arial" w:cs="Arial"/>
                <w:sz w:val="24"/>
                <w:szCs w:val="24"/>
              </w:rPr>
              <w:t>N</w:t>
            </w:r>
          </w:p>
        </w:tc>
        <w:tc>
          <w:tcPr>
            <w:tcW w:w="4979" w:type="dxa"/>
            <w:vMerge/>
            <w:vAlign w:val="center"/>
          </w:tcPr>
          <w:p w14:paraId="5D30EFDD" w14:textId="77777777" w:rsidR="00E72A64" w:rsidRPr="003652B9" w:rsidRDefault="00E72A64" w:rsidP="00CE0907">
            <w:pPr>
              <w:spacing w:before="60" w:after="60"/>
              <w:rPr>
                <w:rFonts w:ascii="Arial" w:hAnsi="Arial" w:cs="Arial"/>
                <w:sz w:val="24"/>
                <w:szCs w:val="24"/>
              </w:rPr>
            </w:pPr>
          </w:p>
        </w:tc>
      </w:tr>
      <w:tr w:rsidR="00E72A64" w:rsidRPr="003652B9" w14:paraId="5B3A70DE" w14:textId="77777777" w:rsidTr="4D65ED4F">
        <w:trPr>
          <w:trHeight w:val="698"/>
        </w:trPr>
        <w:tc>
          <w:tcPr>
            <w:tcW w:w="1575" w:type="dxa"/>
            <w:vMerge/>
            <w:vAlign w:val="center"/>
          </w:tcPr>
          <w:p w14:paraId="6C730546"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tcBorders>
            <w:shd w:val="clear" w:color="auto" w:fill="D9D9D9" w:themeFill="background1" w:themeFillShade="D9"/>
            <w:vAlign w:val="center"/>
          </w:tcPr>
          <w:p w14:paraId="139E498A" w14:textId="77777777" w:rsidR="00E72A64" w:rsidRPr="003652B9" w:rsidRDefault="00E72A64" w:rsidP="00CE0907">
            <w:pPr>
              <w:spacing w:before="60" w:after="60"/>
              <w:rPr>
                <w:rFonts w:ascii="Arial" w:hAnsi="Arial" w:cs="Arial"/>
                <w:b/>
                <w:sz w:val="24"/>
                <w:szCs w:val="24"/>
              </w:rPr>
            </w:pPr>
            <w:r w:rsidRPr="003652B9">
              <w:rPr>
                <w:rFonts w:ascii="Arial" w:hAnsi="Arial" w:cs="Arial"/>
                <w:b/>
                <w:sz w:val="24"/>
                <w:szCs w:val="24"/>
              </w:rPr>
              <w:t>Marriage and civil partnership</w:t>
            </w:r>
          </w:p>
        </w:tc>
        <w:tc>
          <w:tcPr>
            <w:tcW w:w="720" w:type="dxa"/>
            <w:shd w:val="clear" w:color="auto" w:fill="auto"/>
            <w:vAlign w:val="center"/>
          </w:tcPr>
          <w:p w14:paraId="3A77F765" w14:textId="4E28C5FF" w:rsidR="00E72A64" w:rsidRPr="003652B9" w:rsidRDefault="1A0C1B58" w:rsidP="4D65ED4F">
            <w:pPr>
              <w:spacing w:before="60" w:after="60"/>
              <w:jc w:val="center"/>
              <w:rPr>
                <w:rFonts w:ascii="Arial" w:hAnsi="Arial" w:cs="Arial"/>
                <w:sz w:val="24"/>
                <w:szCs w:val="24"/>
              </w:rPr>
            </w:pPr>
            <w:r w:rsidRPr="4D65ED4F">
              <w:rPr>
                <w:rFonts w:ascii="Arial" w:hAnsi="Arial" w:cs="Arial"/>
                <w:sz w:val="24"/>
                <w:szCs w:val="24"/>
              </w:rPr>
              <w:t>N</w:t>
            </w:r>
          </w:p>
        </w:tc>
        <w:tc>
          <w:tcPr>
            <w:tcW w:w="4979" w:type="dxa"/>
            <w:vMerge/>
            <w:vAlign w:val="center"/>
          </w:tcPr>
          <w:p w14:paraId="275AA360" w14:textId="77777777" w:rsidR="00E72A64" w:rsidRPr="003652B9" w:rsidRDefault="00E72A64" w:rsidP="00CE0907">
            <w:pPr>
              <w:spacing w:before="60" w:after="60"/>
              <w:rPr>
                <w:rFonts w:ascii="Arial" w:hAnsi="Arial" w:cs="Arial"/>
                <w:sz w:val="24"/>
                <w:szCs w:val="24"/>
              </w:rPr>
            </w:pPr>
          </w:p>
        </w:tc>
      </w:tr>
      <w:tr w:rsidR="00E72A64" w:rsidRPr="003652B9" w14:paraId="0BEDF4DF" w14:textId="77777777" w:rsidTr="4D65ED4F">
        <w:trPr>
          <w:trHeight w:val="698"/>
        </w:trPr>
        <w:tc>
          <w:tcPr>
            <w:tcW w:w="1575" w:type="dxa"/>
            <w:vMerge/>
            <w:vAlign w:val="center"/>
          </w:tcPr>
          <w:p w14:paraId="6C08CA10" w14:textId="77777777" w:rsidR="00E72A64" w:rsidRPr="003652B9" w:rsidRDefault="00E72A64" w:rsidP="00CE0907">
            <w:pPr>
              <w:spacing w:before="120" w:after="120"/>
              <w:rPr>
                <w:rFonts w:ascii="Arial" w:hAnsi="Arial" w:cs="Arial"/>
                <w:b/>
                <w:sz w:val="24"/>
                <w:szCs w:val="24"/>
              </w:rPr>
            </w:pPr>
          </w:p>
        </w:tc>
        <w:tc>
          <w:tcPr>
            <w:tcW w:w="1935" w:type="dxa"/>
            <w:tcBorders>
              <w:left w:val="single" w:sz="4" w:space="0" w:color="auto"/>
              <w:bottom w:val="single" w:sz="4" w:space="0" w:color="auto"/>
            </w:tcBorders>
            <w:shd w:val="clear" w:color="auto" w:fill="D9D9D9" w:themeFill="background1" w:themeFillShade="D9"/>
            <w:vAlign w:val="center"/>
          </w:tcPr>
          <w:p w14:paraId="283CCAB7" w14:textId="77777777" w:rsidR="00E72A64" w:rsidRPr="003652B9" w:rsidRDefault="00E72A64" w:rsidP="00CE0907">
            <w:pPr>
              <w:spacing w:before="60" w:after="60"/>
              <w:rPr>
                <w:rFonts w:ascii="Arial" w:hAnsi="Arial" w:cs="Arial"/>
                <w:b/>
                <w:sz w:val="24"/>
                <w:szCs w:val="24"/>
              </w:rPr>
            </w:pPr>
            <w:r>
              <w:rPr>
                <w:rFonts w:ascii="Arial" w:hAnsi="Arial" w:cs="Arial"/>
                <w:b/>
                <w:sz w:val="24"/>
                <w:szCs w:val="24"/>
              </w:rPr>
              <w:t>Sex</w:t>
            </w:r>
          </w:p>
        </w:tc>
        <w:tc>
          <w:tcPr>
            <w:tcW w:w="720" w:type="dxa"/>
            <w:tcBorders>
              <w:bottom w:val="single" w:sz="4" w:space="0" w:color="auto"/>
            </w:tcBorders>
            <w:shd w:val="clear" w:color="auto" w:fill="auto"/>
            <w:vAlign w:val="center"/>
          </w:tcPr>
          <w:p w14:paraId="3F398E8B" w14:textId="72D41EFE" w:rsidR="00E72A64" w:rsidRPr="003652B9" w:rsidRDefault="1A0C1B58" w:rsidP="4D65ED4F">
            <w:pPr>
              <w:spacing w:before="60" w:after="60"/>
              <w:jc w:val="center"/>
              <w:rPr>
                <w:rFonts w:ascii="Arial" w:hAnsi="Arial" w:cs="Arial"/>
                <w:sz w:val="24"/>
                <w:szCs w:val="24"/>
              </w:rPr>
            </w:pPr>
            <w:r w:rsidRPr="4D65ED4F">
              <w:rPr>
                <w:rFonts w:ascii="Arial" w:hAnsi="Arial" w:cs="Arial"/>
                <w:sz w:val="24"/>
                <w:szCs w:val="24"/>
              </w:rPr>
              <w:t>Y</w:t>
            </w:r>
          </w:p>
        </w:tc>
        <w:tc>
          <w:tcPr>
            <w:tcW w:w="4979" w:type="dxa"/>
            <w:vMerge/>
            <w:vAlign w:val="center"/>
          </w:tcPr>
          <w:p w14:paraId="1E1E4FF4" w14:textId="77777777" w:rsidR="00E72A64" w:rsidRPr="003652B9" w:rsidRDefault="00E72A64" w:rsidP="00CE0907">
            <w:pPr>
              <w:spacing w:before="60" w:after="60"/>
              <w:rPr>
                <w:rFonts w:ascii="Arial" w:hAnsi="Arial" w:cs="Arial"/>
                <w:sz w:val="24"/>
                <w:szCs w:val="24"/>
              </w:rPr>
            </w:pPr>
          </w:p>
        </w:tc>
      </w:tr>
    </w:tbl>
    <w:p w14:paraId="42D7CF73" w14:textId="77777777" w:rsidR="00E72A64" w:rsidRPr="00B0181F" w:rsidRDefault="00E72A64" w:rsidP="00E72A64">
      <w:pPr>
        <w:rPr>
          <w:rFonts w:ascii="Arial" w:hAnsi="Arial" w:cs="Arial"/>
          <w:sz w:val="24"/>
          <w:szCs w:val="24"/>
        </w:rPr>
      </w:pPr>
    </w:p>
    <w:p w14:paraId="6C3E50B5" w14:textId="77777777" w:rsidR="00E72A64" w:rsidRPr="00B0181F" w:rsidRDefault="00E72A64" w:rsidP="00E72A64">
      <w:pPr>
        <w:rPr>
          <w:rFonts w:ascii="Arial" w:hAnsi="Arial" w:cs="Arial"/>
          <w:sz w:val="24"/>
          <w:szCs w:val="24"/>
        </w:rPr>
      </w:pPr>
    </w:p>
    <w:p w14:paraId="2DAB191B" w14:textId="77777777" w:rsidR="00E72A64" w:rsidRPr="00B0181F" w:rsidRDefault="00E72A64" w:rsidP="00E72A64">
      <w:pPr>
        <w:rPr>
          <w:rFonts w:ascii="Arial" w:hAnsi="Arial" w:cs="Arial"/>
          <w:sz w:val="24"/>
          <w:szCs w:val="24"/>
        </w:rPr>
      </w:pPr>
    </w:p>
    <w:tbl>
      <w:tblPr>
        <w:tblW w:w="88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2175"/>
        <w:gridCol w:w="3495"/>
        <w:gridCol w:w="1425"/>
        <w:gridCol w:w="1335"/>
        <w:gridCol w:w="367"/>
      </w:tblGrid>
      <w:tr w:rsidR="00E72A64" w:rsidRPr="003652B9" w14:paraId="4291AC54" w14:textId="77777777" w:rsidTr="4D65ED4F">
        <w:tc>
          <w:tcPr>
            <w:tcW w:w="8855" w:type="dxa"/>
            <w:gridSpan w:val="6"/>
            <w:tcBorders>
              <w:top w:val="nil"/>
              <w:left w:val="nil"/>
              <w:bottom w:val="nil"/>
              <w:right w:val="nil"/>
            </w:tcBorders>
            <w:shd w:val="clear" w:color="auto" w:fill="0000FF"/>
          </w:tcPr>
          <w:p w14:paraId="17EEE346" w14:textId="77777777" w:rsidR="00E72A64" w:rsidRPr="003652B9" w:rsidRDefault="00E72A64" w:rsidP="00CE0907">
            <w:pPr>
              <w:spacing w:before="120" w:after="120"/>
              <w:rPr>
                <w:rFonts w:ascii="Arial" w:hAnsi="Arial" w:cs="Arial"/>
                <w:b/>
                <w:color w:val="FFFFFF"/>
                <w:sz w:val="24"/>
                <w:szCs w:val="24"/>
              </w:rPr>
            </w:pPr>
            <w:r w:rsidRPr="003652B9">
              <w:rPr>
                <w:rFonts w:ascii="Arial" w:hAnsi="Arial" w:cs="Arial"/>
                <w:b/>
                <w:color w:val="FFFFFF"/>
                <w:sz w:val="24"/>
                <w:szCs w:val="24"/>
              </w:rPr>
              <w:t>Stage 4 – Deciding the way forward</w:t>
            </w:r>
          </w:p>
        </w:tc>
      </w:tr>
      <w:tr w:rsidR="00E72A64" w:rsidRPr="003652B9" w14:paraId="5B7A1194" w14:textId="77777777" w:rsidTr="4D65ED4F">
        <w:tc>
          <w:tcPr>
            <w:tcW w:w="8855" w:type="dxa"/>
            <w:gridSpan w:val="6"/>
            <w:tcBorders>
              <w:left w:val="single" w:sz="4" w:space="0" w:color="auto"/>
              <w:right w:val="single" w:sz="4" w:space="0" w:color="auto"/>
            </w:tcBorders>
            <w:shd w:val="clear" w:color="auto" w:fill="D9D9D9" w:themeFill="background1" w:themeFillShade="D9"/>
            <w:vAlign w:val="center"/>
          </w:tcPr>
          <w:p w14:paraId="698CD952" w14:textId="1F0EB35D"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If potential for differential</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adverse impact remains explain why implementation is justifiable in order to meet the wider policy aims.</w:t>
            </w:r>
          </w:p>
        </w:tc>
      </w:tr>
      <w:tr w:rsidR="00E72A64" w:rsidRPr="003652B9" w14:paraId="4BDE5DE0" w14:textId="77777777" w:rsidTr="4D65ED4F">
        <w:tc>
          <w:tcPr>
            <w:tcW w:w="8855" w:type="dxa"/>
            <w:gridSpan w:val="6"/>
            <w:tcBorders>
              <w:left w:val="single" w:sz="4" w:space="0" w:color="auto"/>
              <w:right w:val="single" w:sz="4" w:space="0" w:color="auto"/>
            </w:tcBorders>
            <w:shd w:val="clear" w:color="auto" w:fill="auto"/>
            <w:vAlign w:val="center"/>
          </w:tcPr>
          <w:p w14:paraId="6B2BCAFE" w14:textId="7974864E" w:rsidR="563339BA" w:rsidRDefault="563339BA" w:rsidP="4D65ED4F">
            <w:pPr>
              <w:spacing w:before="240" w:after="240"/>
              <w:jc w:val="both"/>
              <w:rPr>
                <w:rFonts w:ascii="Arial" w:hAnsi="Arial" w:cs="Arial"/>
                <w:sz w:val="24"/>
                <w:szCs w:val="24"/>
              </w:rPr>
            </w:pPr>
            <w:r w:rsidRPr="4D65ED4F">
              <w:rPr>
                <w:rFonts w:ascii="Arial" w:hAnsi="Arial" w:cs="Arial"/>
                <w:sz w:val="24"/>
                <w:szCs w:val="24"/>
              </w:rPr>
              <w:t xml:space="preserve">There remains a desire to </w:t>
            </w:r>
            <w:r w:rsidR="1717C5BC" w:rsidRPr="4D65ED4F">
              <w:rPr>
                <w:rFonts w:ascii="Arial" w:hAnsi="Arial" w:cs="Arial"/>
                <w:sz w:val="24"/>
                <w:szCs w:val="24"/>
              </w:rPr>
              <w:t>invest in Uttlesford to ensure every district in Essex has benefited from Safer Streets funding.</w:t>
            </w:r>
          </w:p>
          <w:p w14:paraId="75013F17" w14:textId="34C012D1" w:rsidR="00DC0B10" w:rsidRPr="00DC0B10" w:rsidRDefault="00DC0B10" w:rsidP="00CE0907">
            <w:pPr>
              <w:autoSpaceDE w:val="0"/>
              <w:autoSpaceDN w:val="0"/>
              <w:adjustRightInd w:val="0"/>
              <w:spacing w:before="240" w:after="240"/>
              <w:jc w:val="both"/>
              <w:rPr>
                <w:rFonts w:ascii="Arial" w:hAnsi="Arial" w:cs="Arial"/>
                <w:iCs/>
                <w:sz w:val="24"/>
                <w:szCs w:val="24"/>
              </w:rPr>
            </w:pPr>
            <w:r>
              <w:rPr>
                <w:rFonts w:ascii="Arial" w:hAnsi="Arial" w:cs="Arial"/>
                <w:iCs/>
                <w:sz w:val="24"/>
                <w:szCs w:val="24"/>
              </w:rPr>
              <w:t>There are no residual areas of concern.</w:t>
            </w:r>
          </w:p>
        </w:tc>
      </w:tr>
      <w:tr w:rsidR="00E72A64" w:rsidRPr="003652B9" w14:paraId="7DCEF6C1" w14:textId="77777777" w:rsidTr="4D65ED4F">
        <w:tc>
          <w:tcPr>
            <w:tcW w:w="8855" w:type="dxa"/>
            <w:gridSpan w:val="6"/>
            <w:shd w:val="clear" w:color="auto" w:fill="D9D9D9" w:themeFill="background1" w:themeFillShade="D9"/>
            <w:vAlign w:val="center"/>
          </w:tcPr>
          <w:p w14:paraId="2CC4326B" w14:textId="324B76A4"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Summarise any changes made to the policy to reduce or remove the potential for differential</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adverse impact</w:t>
            </w:r>
            <w:r w:rsidRPr="003652B9" w:rsidDel="009A6F2D">
              <w:rPr>
                <w:rFonts w:ascii="Arial" w:hAnsi="Arial" w:cs="Arial"/>
                <w:sz w:val="24"/>
                <w:szCs w:val="24"/>
              </w:rPr>
              <w:t xml:space="preserve"> </w:t>
            </w:r>
          </w:p>
        </w:tc>
      </w:tr>
      <w:tr w:rsidR="00E72A64" w:rsidRPr="003652B9" w14:paraId="4CFAB3E2" w14:textId="77777777" w:rsidTr="4D65ED4F">
        <w:tc>
          <w:tcPr>
            <w:tcW w:w="8855" w:type="dxa"/>
            <w:gridSpan w:val="6"/>
            <w:tcBorders>
              <w:top w:val="nil"/>
            </w:tcBorders>
            <w:shd w:val="clear" w:color="auto" w:fill="auto"/>
            <w:vAlign w:val="center"/>
          </w:tcPr>
          <w:p w14:paraId="07DD39AF" w14:textId="0D3528A2" w:rsidR="00E72A64" w:rsidRPr="00FC608E" w:rsidRDefault="64FF3EF7" w:rsidP="4D65ED4F">
            <w:pPr>
              <w:autoSpaceDE w:val="0"/>
              <w:autoSpaceDN w:val="0"/>
              <w:adjustRightInd w:val="0"/>
              <w:spacing w:before="240" w:after="240"/>
              <w:jc w:val="both"/>
              <w:rPr>
                <w:rFonts w:ascii="Arial" w:hAnsi="Arial" w:cs="Arial"/>
                <w:sz w:val="24"/>
                <w:szCs w:val="24"/>
              </w:rPr>
            </w:pPr>
            <w:r w:rsidRPr="4D65ED4F">
              <w:rPr>
                <w:rFonts w:ascii="Arial" w:hAnsi="Arial" w:cs="Arial"/>
                <w:sz w:val="24"/>
                <w:szCs w:val="24"/>
              </w:rPr>
              <w:t>No changes in policy</w:t>
            </w:r>
            <w:r w:rsidR="000E1586" w:rsidRPr="4D65ED4F">
              <w:rPr>
                <w:rFonts w:ascii="Arial" w:hAnsi="Arial" w:cs="Arial"/>
                <w:sz w:val="24"/>
                <w:szCs w:val="24"/>
              </w:rPr>
              <w:t xml:space="preserve"> required</w:t>
            </w:r>
            <w:r w:rsidRPr="4D65ED4F">
              <w:rPr>
                <w:rFonts w:ascii="Arial" w:hAnsi="Arial" w:cs="Arial"/>
                <w:sz w:val="24"/>
                <w:szCs w:val="24"/>
              </w:rPr>
              <w:t>.</w:t>
            </w:r>
          </w:p>
        </w:tc>
      </w:tr>
      <w:tr w:rsidR="00E72A64" w:rsidRPr="003652B9" w14:paraId="7E6AD40E" w14:textId="77777777" w:rsidTr="4D65ED4F">
        <w:tc>
          <w:tcPr>
            <w:tcW w:w="8855" w:type="dxa"/>
            <w:gridSpan w:val="6"/>
            <w:shd w:val="clear" w:color="auto" w:fill="D9D9D9" w:themeFill="background1" w:themeFillShade="D9"/>
            <w:vAlign w:val="center"/>
          </w:tcPr>
          <w:p w14:paraId="48D3BF9D" w14:textId="01789572"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lastRenderedPageBreak/>
              <w:t>If the function</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policy is to be abandoned, please explain why and how the implications will be managed</w:t>
            </w:r>
            <w:r w:rsidRPr="003652B9" w:rsidDel="009A6F2D">
              <w:rPr>
                <w:rFonts w:ascii="Arial" w:hAnsi="Arial" w:cs="Arial"/>
                <w:sz w:val="24"/>
                <w:szCs w:val="24"/>
              </w:rPr>
              <w:t xml:space="preserve"> </w:t>
            </w:r>
          </w:p>
        </w:tc>
      </w:tr>
      <w:tr w:rsidR="00E72A64" w:rsidRPr="003652B9" w14:paraId="79CE1047" w14:textId="77777777" w:rsidTr="4D65ED4F">
        <w:trPr>
          <w:trHeight w:val="906"/>
        </w:trPr>
        <w:tc>
          <w:tcPr>
            <w:tcW w:w="8855" w:type="dxa"/>
            <w:gridSpan w:val="6"/>
            <w:shd w:val="clear" w:color="auto" w:fill="auto"/>
            <w:vAlign w:val="center"/>
          </w:tcPr>
          <w:p w14:paraId="63561E1C" w14:textId="6BC8DE27" w:rsidR="00E72A64" w:rsidRPr="00C47224" w:rsidRDefault="5736A2F9" w:rsidP="4D65ED4F">
            <w:pPr>
              <w:pStyle w:val="BodyText"/>
              <w:spacing w:before="240" w:after="240"/>
              <w:jc w:val="both"/>
              <w:rPr>
                <w:rFonts w:ascii="Arial" w:hAnsi="Arial" w:cs="Arial"/>
                <w:lang w:eastAsia="en-US"/>
              </w:rPr>
            </w:pPr>
            <w:r w:rsidRPr="4D65ED4F">
              <w:rPr>
                <w:rFonts w:ascii="Arial" w:hAnsi="Arial" w:cs="Arial"/>
                <w:lang w:eastAsia="en-US"/>
              </w:rPr>
              <w:t xml:space="preserve">The PFCC’s </w:t>
            </w:r>
            <w:r w:rsidR="593E7C4B" w:rsidRPr="4D65ED4F">
              <w:rPr>
                <w:rFonts w:ascii="Arial" w:hAnsi="Arial" w:cs="Arial"/>
                <w:lang w:eastAsia="en-US"/>
              </w:rPr>
              <w:t xml:space="preserve">Safer Streets Fund and </w:t>
            </w:r>
            <w:r w:rsidRPr="4D65ED4F">
              <w:rPr>
                <w:rFonts w:ascii="Arial" w:hAnsi="Arial" w:cs="Arial"/>
                <w:lang w:eastAsia="en-US"/>
              </w:rPr>
              <w:t xml:space="preserve">CSDF </w:t>
            </w:r>
            <w:r w:rsidR="4F96C3C0" w:rsidRPr="4D65ED4F">
              <w:rPr>
                <w:rFonts w:ascii="Arial" w:hAnsi="Arial" w:cs="Arial"/>
                <w:lang w:eastAsia="en-US"/>
              </w:rPr>
              <w:t>are</w:t>
            </w:r>
            <w:r w:rsidRPr="4D65ED4F">
              <w:rPr>
                <w:rFonts w:ascii="Arial" w:hAnsi="Arial" w:cs="Arial"/>
                <w:lang w:eastAsia="en-US"/>
              </w:rPr>
              <w:t xml:space="preserve"> annual grant fund</w:t>
            </w:r>
            <w:r w:rsidR="102CF1A9" w:rsidRPr="4D65ED4F">
              <w:rPr>
                <w:rFonts w:ascii="Arial" w:hAnsi="Arial" w:cs="Arial"/>
                <w:lang w:eastAsia="en-US"/>
              </w:rPr>
              <w:t>s</w:t>
            </w:r>
            <w:r w:rsidRPr="4D65ED4F">
              <w:rPr>
                <w:rFonts w:ascii="Arial" w:hAnsi="Arial" w:cs="Arial"/>
                <w:lang w:eastAsia="en-US"/>
              </w:rPr>
              <w:t>.</w:t>
            </w:r>
          </w:p>
        </w:tc>
      </w:tr>
      <w:tr w:rsidR="00E72A64" w:rsidRPr="003652B9" w14:paraId="2A8FE435" w14:textId="77777777" w:rsidTr="4D65ED4F">
        <w:tc>
          <w:tcPr>
            <w:tcW w:w="8855" w:type="dxa"/>
            <w:gridSpan w:val="6"/>
            <w:tcBorders>
              <w:bottom w:val="single" w:sz="4" w:space="0" w:color="auto"/>
            </w:tcBorders>
            <w:shd w:val="clear" w:color="auto" w:fill="D9D9D9" w:themeFill="background1" w:themeFillShade="D9"/>
            <w:vAlign w:val="center"/>
          </w:tcPr>
          <w:p w14:paraId="71537A83" w14:textId="363405F9"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Describe how the function</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policy promotes good relations</w:t>
            </w:r>
          </w:p>
        </w:tc>
      </w:tr>
      <w:tr w:rsidR="00E72A64" w:rsidRPr="003652B9" w14:paraId="4A19ACDF" w14:textId="77777777" w:rsidTr="4D65ED4F">
        <w:tc>
          <w:tcPr>
            <w:tcW w:w="8855" w:type="dxa"/>
            <w:gridSpan w:val="6"/>
            <w:tcBorders>
              <w:bottom w:val="single" w:sz="4" w:space="0" w:color="auto"/>
            </w:tcBorders>
            <w:shd w:val="clear" w:color="auto" w:fill="auto"/>
          </w:tcPr>
          <w:p w14:paraId="7AF56F7C" w14:textId="1CF49D15" w:rsidR="00E72A64" w:rsidRPr="00605177" w:rsidRDefault="6C8F68F8" w:rsidP="4D65ED4F">
            <w:pPr>
              <w:pStyle w:val="BodyText"/>
              <w:spacing w:before="240" w:after="240"/>
              <w:jc w:val="both"/>
              <w:rPr>
                <w:rFonts w:ascii="Arial" w:hAnsi="Arial" w:cs="Arial"/>
                <w:lang w:eastAsia="en-US"/>
              </w:rPr>
            </w:pPr>
            <w:r w:rsidRPr="4D65ED4F">
              <w:rPr>
                <w:rFonts w:ascii="Arial" w:hAnsi="Arial" w:cs="Arial"/>
                <w:lang w:eastAsia="en-US"/>
              </w:rPr>
              <w:t>The Safer Streets Fund has afforded the PFCC the opportunity to invest in local areas and utilise this to promote that investment to local people and stakeholders. The PFCC has seen positive news stories about Safer Streets investment and undertaken internal commun</w:t>
            </w:r>
            <w:r w:rsidR="13761E9D" w:rsidRPr="4D65ED4F">
              <w:rPr>
                <w:rFonts w:ascii="Arial" w:hAnsi="Arial" w:cs="Arial"/>
                <w:lang w:eastAsia="en-US"/>
              </w:rPr>
              <w:t xml:space="preserve">ications activity to promote this work. This exercise has also </w:t>
            </w:r>
            <w:r w:rsidR="28B28C29" w:rsidRPr="4D65ED4F">
              <w:rPr>
                <w:rFonts w:ascii="Arial" w:hAnsi="Arial" w:cs="Arial"/>
                <w:lang w:eastAsia="en-US"/>
              </w:rPr>
              <w:t>improved relations with CSPs</w:t>
            </w:r>
            <w:r w:rsidR="0020486B">
              <w:rPr>
                <w:rFonts w:ascii="Arial" w:hAnsi="Arial" w:cs="Arial"/>
                <w:lang w:eastAsia="en-US"/>
              </w:rPr>
              <w:t>,</w:t>
            </w:r>
            <w:r w:rsidR="28B28C29" w:rsidRPr="4D65ED4F">
              <w:rPr>
                <w:rFonts w:ascii="Arial" w:hAnsi="Arial" w:cs="Arial"/>
                <w:lang w:eastAsia="en-US"/>
              </w:rPr>
              <w:t xml:space="preserve"> galvanising them and empowering them to consult and invest in local areas.</w:t>
            </w:r>
          </w:p>
          <w:p w14:paraId="6D329F64" w14:textId="22C5215C" w:rsidR="00E72A64" w:rsidRPr="00605177" w:rsidRDefault="5736A2F9" w:rsidP="4D65ED4F">
            <w:pPr>
              <w:pStyle w:val="BodyText"/>
              <w:spacing w:before="240" w:after="240"/>
              <w:jc w:val="both"/>
              <w:rPr>
                <w:rFonts w:ascii="Arial" w:hAnsi="Arial" w:cs="Arial"/>
                <w:lang w:eastAsia="en-US"/>
              </w:rPr>
            </w:pPr>
            <w:r w:rsidRPr="4D65ED4F">
              <w:rPr>
                <w:rFonts w:ascii="Arial" w:hAnsi="Arial" w:cs="Arial"/>
                <w:lang w:eastAsia="en-US"/>
              </w:rPr>
              <w:t xml:space="preserve">The </w:t>
            </w:r>
            <w:r w:rsidR="00A21A28">
              <w:rPr>
                <w:rFonts w:ascii="Arial" w:hAnsi="Arial" w:cs="Arial"/>
                <w:lang w:eastAsia="en-US"/>
              </w:rPr>
              <w:t>Safer Streets Fund</w:t>
            </w:r>
            <w:r w:rsidRPr="4D65ED4F">
              <w:rPr>
                <w:rFonts w:ascii="Arial" w:hAnsi="Arial" w:cs="Arial"/>
                <w:lang w:eastAsia="en-US"/>
              </w:rPr>
              <w:t xml:space="preserve"> is </w:t>
            </w:r>
            <w:r w:rsidR="1A8EE0D8" w:rsidRPr="4D65ED4F">
              <w:rPr>
                <w:rFonts w:ascii="Arial" w:hAnsi="Arial" w:cs="Arial"/>
                <w:lang w:eastAsia="en-US"/>
              </w:rPr>
              <w:t xml:space="preserve">also </w:t>
            </w:r>
            <w:r w:rsidRPr="4D65ED4F">
              <w:rPr>
                <w:rFonts w:ascii="Arial" w:hAnsi="Arial" w:cs="Arial"/>
                <w:lang w:eastAsia="en-US"/>
              </w:rPr>
              <w:t xml:space="preserve">an excellent tool to boost awareness of the PFCC and </w:t>
            </w:r>
            <w:r w:rsidR="60642993" w:rsidRPr="4D65ED4F">
              <w:rPr>
                <w:rFonts w:ascii="Arial" w:hAnsi="Arial" w:cs="Arial"/>
                <w:lang w:eastAsia="en-US"/>
              </w:rPr>
              <w:t>improv</w:t>
            </w:r>
            <w:r w:rsidRPr="4D65ED4F">
              <w:rPr>
                <w:rFonts w:ascii="Arial" w:hAnsi="Arial" w:cs="Arial"/>
                <w:lang w:eastAsia="en-US"/>
              </w:rPr>
              <w:t>e</w:t>
            </w:r>
            <w:r w:rsidR="60642993" w:rsidRPr="4D65ED4F">
              <w:rPr>
                <w:rFonts w:ascii="Arial" w:hAnsi="Arial" w:cs="Arial"/>
                <w:lang w:eastAsia="en-US"/>
              </w:rPr>
              <w:t xml:space="preserve"> local relations</w:t>
            </w:r>
            <w:r w:rsidRPr="4D65ED4F">
              <w:rPr>
                <w:rFonts w:ascii="Arial" w:hAnsi="Arial" w:cs="Arial"/>
                <w:lang w:eastAsia="en-US"/>
              </w:rPr>
              <w:t>. The fund energises local community groups</w:t>
            </w:r>
            <w:r w:rsidR="000E1586" w:rsidRPr="4D65ED4F">
              <w:rPr>
                <w:rFonts w:ascii="Arial" w:hAnsi="Arial" w:cs="Arial"/>
                <w:lang w:eastAsia="en-US"/>
              </w:rPr>
              <w:t>,</w:t>
            </w:r>
            <w:r w:rsidRPr="4D65ED4F">
              <w:rPr>
                <w:rFonts w:ascii="Arial" w:hAnsi="Arial" w:cs="Arial"/>
                <w:lang w:eastAsia="en-US"/>
              </w:rPr>
              <w:t xml:space="preserve"> giving them an opportunity to showcase their work and apply for much needed funding to deliver their activities. Promotion of the successful projects is a valuable way to deliver positive communications content and increase awareness of the value of local community-based activity.</w:t>
            </w:r>
          </w:p>
        </w:tc>
      </w:tr>
      <w:tr w:rsidR="00E72A64" w:rsidRPr="003652B9" w14:paraId="5274179F" w14:textId="77777777" w:rsidTr="4D65ED4F">
        <w:trPr>
          <w:trHeight w:val="339"/>
        </w:trPr>
        <w:tc>
          <w:tcPr>
            <w:tcW w:w="8855" w:type="dxa"/>
            <w:gridSpan w:val="6"/>
            <w:tcBorders>
              <w:top w:val="nil"/>
              <w:left w:val="nil"/>
              <w:bottom w:val="nil"/>
              <w:right w:val="nil"/>
            </w:tcBorders>
            <w:shd w:val="clear" w:color="auto" w:fill="0000FF"/>
          </w:tcPr>
          <w:p w14:paraId="5609D66E" w14:textId="77777777" w:rsidR="00E72A64" w:rsidRPr="003652B9" w:rsidRDefault="00E72A64" w:rsidP="00CE0907">
            <w:pPr>
              <w:spacing w:before="120" w:after="120"/>
              <w:rPr>
                <w:rFonts w:ascii="Arial" w:hAnsi="Arial" w:cs="Arial"/>
                <w:b/>
                <w:color w:val="FFFFFF"/>
                <w:sz w:val="24"/>
                <w:szCs w:val="24"/>
              </w:rPr>
            </w:pPr>
            <w:r w:rsidRPr="003652B9">
              <w:rPr>
                <w:rFonts w:ascii="Arial" w:hAnsi="Arial" w:cs="Arial"/>
                <w:b/>
                <w:color w:val="FFFFFF"/>
                <w:sz w:val="24"/>
                <w:szCs w:val="24"/>
              </w:rPr>
              <w:t>Stage 5 - Monitoring Arrangements</w:t>
            </w:r>
          </w:p>
        </w:tc>
      </w:tr>
      <w:tr w:rsidR="00E72A64" w:rsidRPr="003652B9" w14:paraId="04908A42" w14:textId="77777777" w:rsidTr="4D65ED4F">
        <w:tc>
          <w:tcPr>
            <w:tcW w:w="8855" w:type="dxa"/>
            <w:gridSpan w:val="6"/>
            <w:tcBorders>
              <w:bottom w:val="single" w:sz="4" w:space="0" w:color="auto"/>
            </w:tcBorders>
            <w:shd w:val="clear" w:color="auto" w:fill="D9D9D9" w:themeFill="background1" w:themeFillShade="D9"/>
            <w:vAlign w:val="center"/>
          </w:tcPr>
          <w:p w14:paraId="4ABB0A8C" w14:textId="02A0B94F" w:rsidR="00E72A64" w:rsidRPr="003652B9" w:rsidRDefault="00E72A64" w:rsidP="00CE0907">
            <w:pPr>
              <w:spacing w:before="120" w:after="120"/>
              <w:rPr>
                <w:rFonts w:ascii="Arial" w:hAnsi="Arial" w:cs="Arial"/>
                <w:sz w:val="24"/>
                <w:szCs w:val="24"/>
              </w:rPr>
            </w:pPr>
            <w:r w:rsidRPr="003652B9">
              <w:rPr>
                <w:rFonts w:ascii="Arial" w:hAnsi="Arial" w:cs="Arial"/>
                <w:sz w:val="24"/>
                <w:szCs w:val="24"/>
              </w:rPr>
              <w:t>Describe how the function</w:t>
            </w:r>
            <w:r w:rsidR="000E1586">
              <w:rPr>
                <w:rFonts w:ascii="Arial" w:hAnsi="Arial" w:cs="Arial"/>
                <w:sz w:val="24"/>
                <w:szCs w:val="24"/>
              </w:rPr>
              <w:t xml:space="preserve"> </w:t>
            </w:r>
            <w:r w:rsidRPr="003652B9">
              <w:rPr>
                <w:rFonts w:ascii="Arial" w:hAnsi="Arial" w:cs="Arial"/>
                <w:sz w:val="24"/>
                <w:szCs w:val="24"/>
              </w:rPr>
              <w:t>/</w:t>
            </w:r>
            <w:r w:rsidR="000E1586">
              <w:rPr>
                <w:rFonts w:ascii="Arial" w:hAnsi="Arial" w:cs="Arial"/>
                <w:sz w:val="24"/>
                <w:szCs w:val="24"/>
              </w:rPr>
              <w:t xml:space="preserve"> </w:t>
            </w:r>
            <w:r w:rsidRPr="003652B9">
              <w:rPr>
                <w:rFonts w:ascii="Arial" w:hAnsi="Arial" w:cs="Arial"/>
                <w:sz w:val="24"/>
                <w:szCs w:val="24"/>
              </w:rPr>
              <w:t>policy is (or will be) monitored</w:t>
            </w:r>
          </w:p>
        </w:tc>
      </w:tr>
      <w:tr w:rsidR="00E72A64" w:rsidRPr="003652B9" w14:paraId="60122A04" w14:textId="77777777" w:rsidTr="4D65ED4F">
        <w:tc>
          <w:tcPr>
            <w:tcW w:w="8855" w:type="dxa"/>
            <w:gridSpan w:val="6"/>
            <w:tcBorders>
              <w:bottom w:val="single" w:sz="4" w:space="0" w:color="auto"/>
            </w:tcBorders>
            <w:shd w:val="clear" w:color="auto" w:fill="auto"/>
          </w:tcPr>
          <w:p w14:paraId="70990233" w14:textId="31D9EE06" w:rsidR="00E72A64" w:rsidRPr="007022E7" w:rsidRDefault="5736A2F9" w:rsidP="4D65ED4F">
            <w:pPr>
              <w:spacing w:before="240" w:after="240"/>
              <w:jc w:val="both"/>
              <w:rPr>
                <w:rFonts w:ascii="Arial" w:hAnsi="Arial" w:cs="Arial"/>
                <w:sz w:val="24"/>
                <w:szCs w:val="24"/>
              </w:rPr>
            </w:pPr>
            <w:r w:rsidRPr="4D65ED4F">
              <w:rPr>
                <w:rFonts w:ascii="Arial" w:hAnsi="Arial" w:cs="Arial"/>
                <w:sz w:val="24"/>
                <w:szCs w:val="24"/>
              </w:rPr>
              <w:t xml:space="preserve">The PFCC will need to recruit to the vacant </w:t>
            </w:r>
            <w:r w:rsidR="7DAE5045" w:rsidRPr="4D65ED4F">
              <w:rPr>
                <w:rFonts w:ascii="Arial" w:hAnsi="Arial" w:cs="Arial"/>
                <w:sz w:val="24"/>
                <w:szCs w:val="24"/>
              </w:rPr>
              <w:t xml:space="preserve">Safer Streets Project Lead </w:t>
            </w:r>
            <w:r w:rsidRPr="4D65ED4F">
              <w:rPr>
                <w:rFonts w:ascii="Arial" w:hAnsi="Arial" w:cs="Arial"/>
                <w:sz w:val="24"/>
                <w:szCs w:val="24"/>
              </w:rPr>
              <w:t>role in order to monitor the delivery of this grant funding</w:t>
            </w:r>
            <w:r w:rsidR="000E1586" w:rsidRPr="4D65ED4F">
              <w:rPr>
                <w:rFonts w:ascii="Arial" w:hAnsi="Arial" w:cs="Arial"/>
                <w:sz w:val="24"/>
                <w:szCs w:val="24"/>
              </w:rPr>
              <w:t xml:space="preserve"> effectively</w:t>
            </w:r>
            <w:r w:rsidRPr="4D65ED4F">
              <w:rPr>
                <w:rFonts w:ascii="Arial" w:hAnsi="Arial" w:cs="Arial"/>
                <w:sz w:val="24"/>
                <w:szCs w:val="24"/>
              </w:rPr>
              <w:t>.</w:t>
            </w:r>
            <w:r w:rsidR="007022E7">
              <w:rPr>
                <w:rFonts w:ascii="Arial" w:hAnsi="Arial" w:cs="Arial"/>
                <w:sz w:val="24"/>
                <w:szCs w:val="24"/>
              </w:rPr>
              <w:t xml:space="preserve">  This process is ongoing.  </w:t>
            </w:r>
            <w:r w:rsidR="49DB3139" w:rsidRPr="4D65ED4F">
              <w:rPr>
                <w:rFonts w:ascii="Arial" w:hAnsi="Arial" w:cs="Arial"/>
                <w:sz w:val="24"/>
                <w:szCs w:val="24"/>
              </w:rPr>
              <w:t>In their absence, the PFCC will utilise the Commissioning Lead to provide this capacity.</w:t>
            </w:r>
          </w:p>
          <w:p w14:paraId="0F3ADBE2" w14:textId="3A862411" w:rsidR="00E72A64" w:rsidRPr="00FC5DE8" w:rsidRDefault="49DB3139" w:rsidP="4D65ED4F">
            <w:pPr>
              <w:spacing w:before="240" w:after="240"/>
              <w:jc w:val="both"/>
              <w:rPr>
                <w:rFonts w:ascii="Arial" w:hAnsi="Arial" w:cs="Arial"/>
                <w:sz w:val="24"/>
                <w:szCs w:val="24"/>
              </w:rPr>
            </w:pPr>
            <w:r w:rsidRPr="4D65ED4F">
              <w:rPr>
                <w:rFonts w:ascii="Arial" w:hAnsi="Arial" w:cs="Arial"/>
                <w:sz w:val="24"/>
                <w:szCs w:val="24"/>
              </w:rPr>
              <w:t>The PFCC also expects local project leads and partners to take responsibility for monitoring arrangements and to help publicise the positive activity associated with this programme. The PFCC also uses a retained copywriter to support comm</w:t>
            </w:r>
            <w:r w:rsidR="00DD3FC7">
              <w:rPr>
                <w:rFonts w:ascii="Arial" w:hAnsi="Arial" w:cs="Arial"/>
                <w:sz w:val="24"/>
                <w:szCs w:val="24"/>
              </w:rPr>
              <w:t>unication</w:t>
            </w:r>
            <w:r w:rsidRPr="4D65ED4F">
              <w:rPr>
                <w:rFonts w:ascii="Arial" w:hAnsi="Arial" w:cs="Arial"/>
                <w:sz w:val="24"/>
                <w:szCs w:val="24"/>
              </w:rPr>
              <w:t xml:space="preserve">s and media activity of CSDF projects, which could </w:t>
            </w:r>
            <w:r w:rsidR="00611A38">
              <w:rPr>
                <w:rFonts w:ascii="Arial" w:hAnsi="Arial" w:cs="Arial"/>
                <w:sz w:val="24"/>
                <w:szCs w:val="24"/>
              </w:rPr>
              <w:t xml:space="preserve">also </w:t>
            </w:r>
            <w:r w:rsidRPr="4D65ED4F">
              <w:rPr>
                <w:rFonts w:ascii="Arial" w:hAnsi="Arial" w:cs="Arial"/>
                <w:sz w:val="24"/>
                <w:szCs w:val="24"/>
              </w:rPr>
              <w:t>be util</w:t>
            </w:r>
            <w:r w:rsidR="7FD9A710" w:rsidRPr="4D65ED4F">
              <w:rPr>
                <w:rFonts w:ascii="Arial" w:hAnsi="Arial" w:cs="Arial"/>
                <w:sz w:val="24"/>
                <w:szCs w:val="24"/>
              </w:rPr>
              <w:t>ised for these grants</w:t>
            </w:r>
            <w:r w:rsidR="00611A38">
              <w:rPr>
                <w:rFonts w:ascii="Arial" w:hAnsi="Arial" w:cs="Arial"/>
                <w:sz w:val="24"/>
                <w:szCs w:val="24"/>
              </w:rPr>
              <w:t>.</w:t>
            </w:r>
          </w:p>
        </w:tc>
      </w:tr>
      <w:tr w:rsidR="00E72A64" w:rsidRPr="003652B9" w14:paraId="621E1BE6" w14:textId="77777777" w:rsidTr="4D65ED4F">
        <w:tc>
          <w:tcPr>
            <w:tcW w:w="8855" w:type="dxa"/>
            <w:gridSpan w:val="6"/>
            <w:shd w:val="clear" w:color="auto" w:fill="D9D9D9" w:themeFill="background1" w:themeFillShade="D9"/>
            <w:vAlign w:val="center"/>
          </w:tcPr>
          <w:p w14:paraId="4331A1EF" w14:textId="77777777" w:rsidR="00E72A64" w:rsidRPr="003652B9" w:rsidRDefault="00E72A64" w:rsidP="00CE0907">
            <w:pPr>
              <w:spacing w:before="120" w:after="120"/>
              <w:rPr>
                <w:rFonts w:ascii="Arial" w:hAnsi="Arial" w:cs="Arial"/>
                <w:b/>
                <w:sz w:val="24"/>
                <w:szCs w:val="24"/>
              </w:rPr>
            </w:pPr>
            <w:r w:rsidRPr="003652B9">
              <w:rPr>
                <w:rFonts w:ascii="Arial" w:hAnsi="Arial" w:cs="Arial"/>
                <w:sz w:val="24"/>
                <w:szCs w:val="24"/>
              </w:rPr>
              <w:t>Have the assessment outcomes been fed back to those consulted?</w:t>
            </w:r>
          </w:p>
        </w:tc>
      </w:tr>
      <w:tr w:rsidR="00E72A64" w:rsidRPr="003652B9" w14:paraId="7311A215" w14:textId="77777777" w:rsidTr="4D65ED4F">
        <w:tc>
          <w:tcPr>
            <w:tcW w:w="8855" w:type="dxa"/>
            <w:gridSpan w:val="6"/>
            <w:shd w:val="clear" w:color="auto" w:fill="auto"/>
            <w:vAlign w:val="center"/>
          </w:tcPr>
          <w:p w14:paraId="2BE0F285" w14:textId="1174DB5E" w:rsidR="00E72A64" w:rsidRDefault="00605177" w:rsidP="00DB272B">
            <w:pPr>
              <w:spacing w:before="120" w:after="120"/>
              <w:rPr>
                <w:rFonts w:ascii="Arial" w:hAnsi="Arial" w:cs="Arial"/>
                <w:bCs/>
                <w:sz w:val="24"/>
                <w:szCs w:val="24"/>
              </w:rPr>
            </w:pPr>
            <w:r w:rsidRPr="00605177">
              <w:rPr>
                <w:rFonts w:ascii="Arial" w:hAnsi="Arial" w:cs="Arial"/>
                <w:bCs/>
                <w:sz w:val="24"/>
                <w:szCs w:val="24"/>
              </w:rPr>
              <w:t xml:space="preserve">Yes, </w:t>
            </w:r>
            <w:r>
              <w:rPr>
                <w:rFonts w:ascii="Arial" w:hAnsi="Arial" w:cs="Arial"/>
                <w:bCs/>
                <w:sz w:val="24"/>
                <w:szCs w:val="24"/>
              </w:rPr>
              <w:t>bidders have been informed of the outcome of the process (pending due diligence and PFCC endorsement</w:t>
            </w:r>
            <w:r w:rsidR="000E1586">
              <w:rPr>
                <w:rFonts w:ascii="Arial" w:hAnsi="Arial" w:cs="Arial"/>
                <w:bCs/>
                <w:sz w:val="24"/>
                <w:szCs w:val="24"/>
              </w:rPr>
              <w:t>)</w:t>
            </w:r>
            <w:r>
              <w:rPr>
                <w:rFonts w:ascii="Arial" w:hAnsi="Arial" w:cs="Arial"/>
                <w:bCs/>
                <w:sz w:val="24"/>
                <w:szCs w:val="24"/>
              </w:rPr>
              <w:t>.</w:t>
            </w:r>
          </w:p>
          <w:p w14:paraId="111C4F9E" w14:textId="0BECB822" w:rsidR="000E1586" w:rsidRDefault="5736A2F9" w:rsidP="4D65ED4F">
            <w:pPr>
              <w:spacing w:before="120" w:after="120"/>
              <w:rPr>
                <w:rFonts w:ascii="Arial" w:hAnsi="Arial" w:cs="Arial"/>
                <w:sz w:val="24"/>
                <w:szCs w:val="24"/>
              </w:rPr>
            </w:pPr>
            <w:r w:rsidRPr="4D65ED4F">
              <w:rPr>
                <w:rFonts w:ascii="Arial" w:hAnsi="Arial" w:cs="Arial"/>
                <w:sz w:val="24"/>
                <w:szCs w:val="24"/>
              </w:rPr>
              <w:t xml:space="preserve">The </w:t>
            </w:r>
            <w:r w:rsidR="4B5EA68E" w:rsidRPr="4D65ED4F">
              <w:rPr>
                <w:rFonts w:ascii="Arial" w:hAnsi="Arial" w:cs="Arial"/>
                <w:sz w:val="24"/>
                <w:szCs w:val="24"/>
              </w:rPr>
              <w:t>PFCC’s Senior Management Team reviewed this proposal at a meeting on 7</w:t>
            </w:r>
            <w:r w:rsidR="4B5EA68E" w:rsidRPr="4D65ED4F">
              <w:rPr>
                <w:rFonts w:ascii="Arial" w:hAnsi="Arial" w:cs="Arial"/>
                <w:sz w:val="24"/>
                <w:szCs w:val="24"/>
                <w:vertAlign w:val="superscript"/>
              </w:rPr>
              <w:t>th</w:t>
            </w:r>
            <w:r w:rsidR="4B5EA68E" w:rsidRPr="4D65ED4F">
              <w:rPr>
                <w:rFonts w:ascii="Arial" w:hAnsi="Arial" w:cs="Arial"/>
                <w:sz w:val="24"/>
                <w:szCs w:val="24"/>
              </w:rPr>
              <w:t xml:space="preserve"> May 2024</w:t>
            </w:r>
          </w:p>
          <w:p w14:paraId="6B714284" w14:textId="45560C22" w:rsidR="00605177" w:rsidRPr="00605177" w:rsidRDefault="00605177" w:rsidP="00DB272B">
            <w:pPr>
              <w:spacing w:before="120" w:after="120"/>
              <w:rPr>
                <w:rFonts w:ascii="Arial" w:hAnsi="Arial" w:cs="Arial"/>
                <w:bCs/>
                <w:sz w:val="24"/>
                <w:szCs w:val="24"/>
              </w:rPr>
            </w:pPr>
            <w:r>
              <w:rPr>
                <w:rFonts w:ascii="Arial" w:hAnsi="Arial" w:cs="Arial"/>
                <w:bCs/>
                <w:sz w:val="24"/>
                <w:szCs w:val="24"/>
              </w:rPr>
              <w:t xml:space="preserve">In due course, the decision </w:t>
            </w:r>
            <w:r w:rsidR="000E1586">
              <w:rPr>
                <w:rFonts w:ascii="Arial" w:hAnsi="Arial" w:cs="Arial"/>
                <w:bCs/>
                <w:sz w:val="24"/>
                <w:szCs w:val="24"/>
              </w:rPr>
              <w:t xml:space="preserve">report </w:t>
            </w:r>
            <w:r>
              <w:rPr>
                <w:rFonts w:ascii="Arial" w:hAnsi="Arial" w:cs="Arial"/>
                <w:bCs/>
                <w:sz w:val="24"/>
                <w:szCs w:val="24"/>
              </w:rPr>
              <w:t>listing the successful projects will be published on the PFCC’s website.</w:t>
            </w:r>
          </w:p>
        </w:tc>
      </w:tr>
      <w:tr w:rsidR="00E72A64" w:rsidRPr="003652B9" w14:paraId="0D875FA8" w14:textId="77777777" w:rsidTr="4D65ED4F">
        <w:trPr>
          <w:gridBefore w:val="1"/>
          <w:gridAfter w:val="1"/>
          <w:wBefore w:w="58" w:type="dxa"/>
          <w:wAfter w:w="367" w:type="dxa"/>
        </w:trPr>
        <w:tc>
          <w:tcPr>
            <w:tcW w:w="2175" w:type="dxa"/>
            <w:shd w:val="clear" w:color="auto" w:fill="E0E0E0"/>
          </w:tcPr>
          <w:p w14:paraId="068401A2"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lastRenderedPageBreak/>
              <w:t>Impact assessed by:</w:t>
            </w:r>
          </w:p>
        </w:tc>
        <w:tc>
          <w:tcPr>
            <w:tcW w:w="3495" w:type="dxa"/>
            <w:shd w:val="clear" w:color="auto" w:fill="auto"/>
          </w:tcPr>
          <w:p w14:paraId="113F5D06" w14:textId="7912D1BF" w:rsidR="00E72A64" w:rsidRPr="003652B9" w:rsidRDefault="00605177" w:rsidP="00CE0907">
            <w:pPr>
              <w:spacing w:before="120" w:after="120"/>
              <w:rPr>
                <w:rFonts w:ascii="Arial" w:hAnsi="Arial" w:cs="Arial"/>
                <w:b/>
                <w:sz w:val="24"/>
                <w:szCs w:val="24"/>
              </w:rPr>
            </w:pPr>
            <w:r>
              <w:rPr>
                <w:rFonts w:ascii="Arial" w:hAnsi="Arial" w:cs="Arial"/>
                <w:b/>
                <w:sz w:val="24"/>
                <w:szCs w:val="24"/>
              </w:rPr>
              <w:t>Greg Myddelton</w:t>
            </w:r>
            <w:r w:rsidR="004C6206">
              <w:rPr>
                <w:rFonts w:ascii="Arial" w:hAnsi="Arial" w:cs="Arial"/>
                <w:b/>
                <w:sz w:val="24"/>
                <w:szCs w:val="24"/>
              </w:rPr>
              <w:t xml:space="preserve"> (Strategic Head of Partnerships and Delivery)</w:t>
            </w:r>
          </w:p>
        </w:tc>
        <w:tc>
          <w:tcPr>
            <w:tcW w:w="1425" w:type="dxa"/>
            <w:shd w:val="clear" w:color="auto" w:fill="E0E0E0"/>
          </w:tcPr>
          <w:p w14:paraId="46E0795C"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t>Date:</w:t>
            </w:r>
          </w:p>
        </w:tc>
        <w:tc>
          <w:tcPr>
            <w:tcW w:w="1335" w:type="dxa"/>
            <w:shd w:val="clear" w:color="auto" w:fill="auto"/>
          </w:tcPr>
          <w:p w14:paraId="2C9C9185" w14:textId="2287EE97" w:rsidR="00E72A64" w:rsidRPr="003652B9" w:rsidRDefault="5736A2F9" w:rsidP="4D65ED4F">
            <w:pPr>
              <w:spacing w:before="120" w:after="120"/>
              <w:rPr>
                <w:rFonts w:ascii="Arial" w:hAnsi="Arial" w:cs="Arial"/>
                <w:b/>
                <w:bCs/>
                <w:sz w:val="24"/>
                <w:szCs w:val="24"/>
              </w:rPr>
            </w:pPr>
            <w:r w:rsidRPr="4D65ED4F">
              <w:rPr>
                <w:rFonts w:ascii="Arial" w:hAnsi="Arial" w:cs="Arial"/>
                <w:b/>
                <w:bCs/>
                <w:sz w:val="24"/>
                <w:szCs w:val="24"/>
              </w:rPr>
              <w:t>1</w:t>
            </w:r>
            <w:r w:rsidR="119A39C8" w:rsidRPr="4D65ED4F">
              <w:rPr>
                <w:rFonts w:ascii="Arial" w:hAnsi="Arial" w:cs="Arial"/>
                <w:b/>
                <w:bCs/>
                <w:sz w:val="24"/>
                <w:szCs w:val="24"/>
              </w:rPr>
              <w:t>5</w:t>
            </w:r>
            <w:r w:rsidRPr="4D65ED4F">
              <w:rPr>
                <w:rFonts w:ascii="Arial" w:hAnsi="Arial" w:cs="Arial"/>
                <w:b/>
                <w:bCs/>
                <w:sz w:val="24"/>
                <w:szCs w:val="24"/>
              </w:rPr>
              <w:t>/5/2</w:t>
            </w:r>
            <w:r w:rsidR="19862451" w:rsidRPr="4D65ED4F">
              <w:rPr>
                <w:rFonts w:ascii="Arial" w:hAnsi="Arial" w:cs="Arial"/>
                <w:b/>
                <w:bCs/>
                <w:sz w:val="24"/>
                <w:szCs w:val="24"/>
              </w:rPr>
              <w:t>4</w:t>
            </w:r>
          </w:p>
        </w:tc>
      </w:tr>
      <w:tr w:rsidR="00E72A64" w:rsidRPr="003652B9" w14:paraId="7C57C8E2" w14:textId="77777777" w:rsidTr="4D65ED4F">
        <w:trPr>
          <w:gridBefore w:val="1"/>
          <w:gridAfter w:val="1"/>
          <w:wBefore w:w="58" w:type="dxa"/>
          <w:wAfter w:w="367" w:type="dxa"/>
        </w:trPr>
        <w:tc>
          <w:tcPr>
            <w:tcW w:w="2175" w:type="dxa"/>
            <w:shd w:val="clear" w:color="auto" w:fill="E0E0E0"/>
          </w:tcPr>
          <w:p w14:paraId="1D6D5652"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t>Approved by (owner):</w:t>
            </w:r>
          </w:p>
        </w:tc>
        <w:tc>
          <w:tcPr>
            <w:tcW w:w="3495" w:type="dxa"/>
            <w:shd w:val="clear" w:color="auto" w:fill="auto"/>
          </w:tcPr>
          <w:p w14:paraId="06955AAA" w14:textId="53FA19D0" w:rsidR="00E72A64" w:rsidRPr="003652B9" w:rsidRDefault="004C6206" w:rsidP="4D65ED4F">
            <w:pPr>
              <w:spacing w:before="120" w:after="120"/>
              <w:rPr>
                <w:rFonts w:ascii="Arial" w:hAnsi="Arial" w:cs="Arial"/>
                <w:b/>
                <w:bCs/>
                <w:sz w:val="24"/>
                <w:szCs w:val="24"/>
              </w:rPr>
            </w:pPr>
            <w:r>
              <w:rPr>
                <w:rFonts w:ascii="Arial" w:hAnsi="Arial" w:cs="Arial"/>
                <w:b/>
                <w:bCs/>
                <w:sz w:val="24"/>
                <w:szCs w:val="24"/>
              </w:rPr>
              <w:t>Pippa Brent-Isherwood (Chief Executive and Monitoring Officer</w:t>
            </w:r>
            <w:r w:rsidR="00364B0F">
              <w:rPr>
                <w:rFonts w:ascii="Arial" w:hAnsi="Arial" w:cs="Arial"/>
                <w:b/>
                <w:bCs/>
                <w:sz w:val="24"/>
                <w:szCs w:val="24"/>
              </w:rPr>
              <w:t>)</w:t>
            </w:r>
          </w:p>
        </w:tc>
        <w:tc>
          <w:tcPr>
            <w:tcW w:w="1425" w:type="dxa"/>
            <w:shd w:val="clear" w:color="auto" w:fill="E0E0E0"/>
          </w:tcPr>
          <w:p w14:paraId="2AC3DB30" w14:textId="77777777" w:rsidR="00E72A64" w:rsidRPr="003652B9" w:rsidRDefault="00E72A64" w:rsidP="00CE0907">
            <w:pPr>
              <w:spacing w:before="120" w:after="120"/>
              <w:rPr>
                <w:rFonts w:ascii="Arial" w:hAnsi="Arial" w:cs="Arial"/>
                <w:b/>
                <w:sz w:val="24"/>
                <w:szCs w:val="24"/>
              </w:rPr>
            </w:pPr>
            <w:r w:rsidRPr="003652B9">
              <w:rPr>
                <w:rFonts w:ascii="Arial" w:hAnsi="Arial" w:cs="Arial"/>
                <w:b/>
                <w:sz w:val="24"/>
                <w:szCs w:val="24"/>
              </w:rPr>
              <w:t>Date:</w:t>
            </w:r>
          </w:p>
        </w:tc>
        <w:tc>
          <w:tcPr>
            <w:tcW w:w="1335" w:type="dxa"/>
            <w:shd w:val="clear" w:color="auto" w:fill="auto"/>
          </w:tcPr>
          <w:p w14:paraId="36BC9974" w14:textId="6DEBCA8D" w:rsidR="00E72A64" w:rsidRPr="003652B9" w:rsidRDefault="00364B0F" w:rsidP="4D65ED4F">
            <w:pPr>
              <w:spacing w:before="120" w:after="120"/>
              <w:rPr>
                <w:rFonts w:ascii="Arial" w:hAnsi="Arial" w:cs="Arial"/>
                <w:b/>
                <w:bCs/>
                <w:sz w:val="24"/>
                <w:szCs w:val="24"/>
              </w:rPr>
            </w:pPr>
            <w:r>
              <w:rPr>
                <w:rFonts w:ascii="Arial" w:hAnsi="Arial" w:cs="Arial"/>
                <w:b/>
                <w:bCs/>
                <w:sz w:val="24"/>
                <w:szCs w:val="24"/>
              </w:rPr>
              <w:t>31/05/24</w:t>
            </w:r>
          </w:p>
        </w:tc>
      </w:tr>
    </w:tbl>
    <w:p w14:paraId="4EC28CD2" w14:textId="77777777" w:rsidR="00E72A64" w:rsidRDefault="00E72A64" w:rsidP="00E72A64">
      <w:pPr>
        <w:spacing w:before="240" w:after="240"/>
      </w:pPr>
    </w:p>
    <w:p w14:paraId="18A144E9" w14:textId="77777777" w:rsidR="003659A8" w:rsidRDefault="003659A8"/>
    <w:sectPr w:rsidR="003659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7D9A" w14:textId="77777777" w:rsidR="005B47B2" w:rsidRDefault="005B47B2" w:rsidP="00E72A64">
      <w:r>
        <w:separator/>
      </w:r>
    </w:p>
  </w:endnote>
  <w:endnote w:type="continuationSeparator" w:id="0">
    <w:p w14:paraId="42EA5D4E" w14:textId="77777777" w:rsidR="005B47B2" w:rsidRDefault="005B47B2" w:rsidP="00E72A64">
      <w:r>
        <w:continuationSeparator/>
      </w:r>
    </w:p>
  </w:endnote>
  <w:endnote w:type="continuationNotice" w:id="1">
    <w:p w14:paraId="0BE08E9E" w14:textId="77777777" w:rsidR="005B47B2" w:rsidRDefault="005B4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5014" w14:textId="77777777" w:rsidR="005B47B2" w:rsidRDefault="005B47B2" w:rsidP="00E72A64">
      <w:r>
        <w:separator/>
      </w:r>
    </w:p>
  </w:footnote>
  <w:footnote w:type="continuationSeparator" w:id="0">
    <w:p w14:paraId="477388A2" w14:textId="77777777" w:rsidR="005B47B2" w:rsidRDefault="005B47B2" w:rsidP="00E72A64">
      <w:r>
        <w:continuationSeparator/>
      </w:r>
    </w:p>
  </w:footnote>
  <w:footnote w:type="continuationNotice" w:id="1">
    <w:p w14:paraId="55A7754F" w14:textId="77777777" w:rsidR="005B47B2" w:rsidRDefault="005B4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A3A2"/>
    <w:multiLevelType w:val="hybridMultilevel"/>
    <w:tmpl w:val="ACAE3090"/>
    <w:lvl w:ilvl="0" w:tplc="6330C6A0">
      <w:start w:val="1"/>
      <w:numFmt w:val="bullet"/>
      <w:lvlText w:val=""/>
      <w:lvlJc w:val="left"/>
      <w:pPr>
        <w:ind w:left="720" w:hanging="360"/>
      </w:pPr>
      <w:rPr>
        <w:rFonts w:ascii="Symbol" w:hAnsi="Symbol" w:hint="default"/>
      </w:rPr>
    </w:lvl>
    <w:lvl w:ilvl="1" w:tplc="9544F13C">
      <w:start w:val="1"/>
      <w:numFmt w:val="bullet"/>
      <w:lvlText w:val="o"/>
      <w:lvlJc w:val="left"/>
      <w:pPr>
        <w:ind w:left="1440" w:hanging="360"/>
      </w:pPr>
      <w:rPr>
        <w:rFonts w:ascii="Courier New" w:hAnsi="Courier New" w:hint="default"/>
      </w:rPr>
    </w:lvl>
    <w:lvl w:ilvl="2" w:tplc="20D4D66A">
      <w:start w:val="1"/>
      <w:numFmt w:val="bullet"/>
      <w:lvlText w:val=""/>
      <w:lvlJc w:val="left"/>
      <w:pPr>
        <w:ind w:left="2160" w:hanging="360"/>
      </w:pPr>
      <w:rPr>
        <w:rFonts w:ascii="Wingdings" w:hAnsi="Wingdings" w:hint="default"/>
      </w:rPr>
    </w:lvl>
    <w:lvl w:ilvl="3" w:tplc="4C30499C">
      <w:start w:val="1"/>
      <w:numFmt w:val="bullet"/>
      <w:lvlText w:val=""/>
      <w:lvlJc w:val="left"/>
      <w:pPr>
        <w:ind w:left="2880" w:hanging="360"/>
      </w:pPr>
      <w:rPr>
        <w:rFonts w:ascii="Symbol" w:hAnsi="Symbol" w:hint="default"/>
      </w:rPr>
    </w:lvl>
    <w:lvl w:ilvl="4" w:tplc="50182A4C">
      <w:start w:val="1"/>
      <w:numFmt w:val="bullet"/>
      <w:lvlText w:val="o"/>
      <w:lvlJc w:val="left"/>
      <w:pPr>
        <w:ind w:left="3600" w:hanging="360"/>
      </w:pPr>
      <w:rPr>
        <w:rFonts w:ascii="Courier New" w:hAnsi="Courier New" w:hint="default"/>
      </w:rPr>
    </w:lvl>
    <w:lvl w:ilvl="5" w:tplc="05DADE56">
      <w:start w:val="1"/>
      <w:numFmt w:val="bullet"/>
      <w:lvlText w:val=""/>
      <w:lvlJc w:val="left"/>
      <w:pPr>
        <w:ind w:left="4320" w:hanging="360"/>
      </w:pPr>
      <w:rPr>
        <w:rFonts w:ascii="Wingdings" w:hAnsi="Wingdings" w:hint="default"/>
      </w:rPr>
    </w:lvl>
    <w:lvl w:ilvl="6" w:tplc="0A666D04">
      <w:start w:val="1"/>
      <w:numFmt w:val="bullet"/>
      <w:lvlText w:val=""/>
      <w:lvlJc w:val="left"/>
      <w:pPr>
        <w:ind w:left="5040" w:hanging="360"/>
      </w:pPr>
      <w:rPr>
        <w:rFonts w:ascii="Symbol" w:hAnsi="Symbol" w:hint="default"/>
      </w:rPr>
    </w:lvl>
    <w:lvl w:ilvl="7" w:tplc="8DB85746">
      <w:start w:val="1"/>
      <w:numFmt w:val="bullet"/>
      <w:lvlText w:val="o"/>
      <w:lvlJc w:val="left"/>
      <w:pPr>
        <w:ind w:left="5760" w:hanging="360"/>
      </w:pPr>
      <w:rPr>
        <w:rFonts w:ascii="Courier New" w:hAnsi="Courier New" w:hint="default"/>
      </w:rPr>
    </w:lvl>
    <w:lvl w:ilvl="8" w:tplc="758CF818">
      <w:start w:val="1"/>
      <w:numFmt w:val="bullet"/>
      <w:lvlText w:val=""/>
      <w:lvlJc w:val="left"/>
      <w:pPr>
        <w:ind w:left="6480" w:hanging="360"/>
      </w:pPr>
      <w:rPr>
        <w:rFonts w:ascii="Wingdings" w:hAnsi="Wingdings" w:hint="default"/>
      </w:rPr>
    </w:lvl>
  </w:abstractNum>
  <w:abstractNum w:abstractNumId="1" w15:restartNumberingAfterBreak="0">
    <w:nsid w:val="0A68896A"/>
    <w:multiLevelType w:val="hybridMultilevel"/>
    <w:tmpl w:val="BC720F76"/>
    <w:lvl w:ilvl="0" w:tplc="751AD62E">
      <w:start w:val="1"/>
      <w:numFmt w:val="bullet"/>
      <w:lvlText w:val=""/>
      <w:lvlJc w:val="left"/>
      <w:pPr>
        <w:ind w:left="720" w:hanging="360"/>
      </w:pPr>
      <w:rPr>
        <w:rFonts w:ascii="Symbol" w:hAnsi="Symbol" w:hint="default"/>
      </w:rPr>
    </w:lvl>
    <w:lvl w:ilvl="1" w:tplc="5B98461E">
      <w:start w:val="1"/>
      <w:numFmt w:val="bullet"/>
      <w:lvlText w:val="o"/>
      <w:lvlJc w:val="left"/>
      <w:pPr>
        <w:ind w:left="1440" w:hanging="360"/>
      </w:pPr>
      <w:rPr>
        <w:rFonts w:ascii="Courier New" w:hAnsi="Courier New" w:hint="default"/>
      </w:rPr>
    </w:lvl>
    <w:lvl w:ilvl="2" w:tplc="4B5A54E4">
      <w:start w:val="1"/>
      <w:numFmt w:val="bullet"/>
      <w:lvlText w:val=""/>
      <w:lvlJc w:val="left"/>
      <w:pPr>
        <w:ind w:left="2160" w:hanging="360"/>
      </w:pPr>
      <w:rPr>
        <w:rFonts w:ascii="Wingdings" w:hAnsi="Wingdings" w:hint="default"/>
      </w:rPr>
    </w:lvl>
    <w:lvl w:ilvl="3" w:tplc="1DEA2126">
      <w:start w:val="1"/>
      <w:numFmt w:val="bullet"/>
      <w:lvlText w:val=""/>
      <w:lvlJc w:val="left"/>
      <w:pPr>
        <w:ind w:left="2880" w:hanging="360"/>
      </w:pPr>
      <w:rPr>
        <w:rFonts w:ascii="Symbol" w:hAnsi="Symbol" w:hint="default"/>
      </w:rPr>
    </w:lvl>
    <w:lvl w:ilvl="4" w:tplc="F8766A2C">
      <w:start w:val="1"/>
      <w:numFmt w:val="bullet"/>
      <w:lvlText w:val="o"/>
      <w:lvlJc w:val="left"/>
      <w:pPr>
        <w:ind w:left="3600" w:hanging="360"/>
      </w:pPr>
      <w:rPr>
        <w:rFonts w:ascii="Courier New" w:hAnsi="Courier New" w:hint="default"/>
      </w:rPr>
    </w:lvl>
    <w:lvl w:ilvl="5" w:tplc="7F42A3D4">
      <w:start w:val="1"/>
      <w:numFmt w:val="bullet"/>
      <w:lvlText w:val=""/>
      <w:lvlJc w:val="left"/>
      <w:pPr>
        <w:ind w:left="4320" w:hanging="360"/>
      </w:pPr>
      <w:rPr>
        <w:rFonts w:ascii="Wingdings" w:hAnsi="Wingdings" w:hint="default"/>
      </w:rPr>
    </w:lvl>
    <w:lvl w:ilvl="6" w:tplc="7E309F8C">
      <w:start w:val="1"/>
      <w:numFmt w:val="bullet"/>
      <w:lvlText w:val=""/>
      <w:lvlJc w:val="left"/>
      <w:pPr>
        <w:ind w:left="5040" w:hanging="360"/>
      </w:pPr>
      <w:rPr>
        <w:rFonts w:ascii="Symbol" w:hAnsi="Symbol" w:hint="default"/>
      </w:rPr>
    </w:lvl>
    <w:lvl w:ilvl="7" w:tplc="431C0C94">
      <w:start w:val="1"/>
      <w:numFmt w:val="bullet"/>
      <w:lvlText w:val="o"/>
      <w:lvlJc w:val="left"/>
      <w:pPr>
        <w:ind w:left="5760" w:hanging="360"/>
      </w:pPr>
      <w:rPr>
        <w:rFonts w:ascii="Courier New" w:hAnsi="Courier New" w:hint="default"/>
      </w:rPr>
    </w:lvl>
    <w:lvl w:ilvl="8" w:tplc="EB3AA908">
      <w:start w:val="1"/>
      <w:numFmt w:val="bullet"/>
      <w:lvlText w:val=""/>
      <w:lvlJc w:val="left"/>
      <w:pPr>
        <w:ind w:left="6480" w:hanging="360"/>
      </w:pPr>
      <w:rPr>
        <w:rFonts w:ascii="Wingdings" w:hAnsi="Wingdings" w:hint="default"/>
      </w:rPr>
    </w:lvl>
  </w:abstractNum>
  <w:abstractNum w:abstractNumId="2" w15:restartNumberingAfterBreak="0">
    <w:nsid w:val="1B2762B8"/>
    <w:multiLevelType w:val="hybridMultilevel"/>
    <w:tmpl w:val="FF9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92B5A"/>
    <w:multiLevelType w:val="hybridMultilevel"/>
    <w:tmpl w:val="187488E4"/>
    <w:lvl w:ilvl="0" w:tplc="33407358">
      <w:start w:val="1"/>
      <w:numFmt w:val="bullet"/>
      <w:lvlText w:val=""/>
      <w:lvlJc w:val="left"/>
      <w:pPr>
        <w:ind w:left="720" w:hanging="360"/>
      </w:pPr>
      <w:rPr>
        <w:rFonts w:ascii="Symbol" w:hAnsi="Symbol" w:hint="default"/>
      </w:rPr>
    </w:lvl>
    <w:lvl w:ilvl="1" w:tplc="9446E260">
      <w:start w:val="1"/>
      <w:numFmt w:val="bullet"/>
      <w:lvlText w:val="o"/>
      <w:lvlJc w:val="left"/>
      <w:pPr>
        <w:ind w:left="1440" w:hanging="360"/>
      </w:pPr>
      <w:rPr>
        <w:rFonts w:ascii="Courier New" w:hAnsi="Courier New" w:hint="default"/>
      </w:rPr>
    </w:lvl>
    <w:lvl w:ilvl="2" w:tplc="0462A22A">
      <w:start w:val="1"/>
      <w:numFmt w:val="bullet"/>
      <w:lvlText w:val=""/>
      <w:lvlJc w:val="left"/>
      <w:pPr>
        <w:ind w:left="2160" w:hanging="360"/>
      </w:pPr>
      <w:rPr>
        <w:rFonts w:ascii="Wingdings" w:hAnsi="Wingdings" w:hint="default"/>
      </w:rPr>
    </w:lvl>
    <w:lvl w:ilvl="3" w:tplc="B0A68032">
      <w:start w:val="1"/>
      <w:numFmt w:val="bullet"/>
      <w:lvlText w:val=""/>
      <w:lvlJc w:val="left"/>
      <w:pPr>
        <w:ind w:left="2880" w:hanging="360"/>
      </w:pPr>
      <w:rPr>
        <w:rFonts w:ascii="Symbol" w:hAnsi="Symbol" w:hint="default"/>
      </w:rPr>
    </w:lvl>
    <w:lvl w:ilvl="4" w:tplc="9F70379E">
      <w:start w:val="1"/>
      <w:numFmt w:val="bullet"/>
      <w:lvlText w:val="o"/>
      <w:lvlJc w:val="left"/>
      <w:pPr>
        <w:ind w:left="3600" w:hanging="360"/>
      </w:pPr>
      <w:rPr>
        <w:rFonts w:ascii="Courier New" w:hAnsi="Courier New" w:hint="default"/>
      </w:rPr>
    </w:lvl>
    <w:lvl w:ilvl="5" w:tplc="18B071E6">
      <w:start w:val="1"/>
      <w:numFmt w:val="bullet"/>
      <w:lvlText w:val=""/>
      <w:lvlJc w:val="left"/>
      <w:pPr>
        <w:ind w:left="4320" w:hanging="360"/>
      </w:pPr>
      <w:rPr>
        <w:rFonts w:ascii="Wingdings" w:hAnsi="Wingdings" w:hint="default"/>
      </w:rPr>
    </w:lvl>
    <w:lvl w:ilvl="6" w:tplc="21B0AE02">
      <w:start w:val="1"/>
      <w:numFmt w:val="bullet"/>
      <w:lvlText w:val=""/>
      <w:lvlJc w:val="left"/>
      <w:pPr>
        <w:ind w:left="5040" w:hanging="360"/>
      </w:pPr>
      <w:rPr>
        <w:rFonts w:ascii="Symbol" w:hAnsi="Symbol" w:hint="default"/>
      </w:rPr>
    </w:lvl>
    <w:lvl w:ilvl="7" w:tplc="0BAC343A">
      <w:start w:val="1"/>
      <w:numFmt w:val="bullet"/>
      <w:lvlText w:val="o"/>
      <w:lvlJc w:val="left"/>
      <w:pPr>
        <w:ind w:left="5760" w:hanging="360"/>
      </w:pPr>
      <w:rPr>
        <w:rFonts w:ascii="Courier New" w:hAnsi="Courier New" w:hint="default"/>
      </w:rPr>
    </w:lvl>
    <w:lvl w:ilvl="8" w:tplc="22301330">
      <w:start w:val="1"/>
      <w:numFmt w:val="bullet"/>
      <w:lvlText w:val=""/>
      <w:lvlJc w:val="left"/>
      <w:pPr>
        <w:ind w:left="6480" w:hanging="360"/>
      </w:pPr>
      <w:rPr>
        <w:rFonts w:ascii="Wingdings" w:hAnsi="Wingdings" w:hint="default"/>
      </w:rPr>
    </w:lvl>
  </w:abstractNum>
  <w:abstractNum w:abstractNumId="4" w15:restartNumberingAfterBreak="0">
    <w:nsid w:val="4C18690E"/>
    <w:multiLevelType w:val="hybridMultilevel"/>
    <w:tmpl w:val="381A8EE2"/>
    <w:lvl w:ilvl="0" w:tplc="0194026C">
      <w:start w:val="1"/>
      <w:numFmt w:val="bullet"/>
      <w:lvlText w:val=""/>
      <w:lvlJc w:val="left"/>
      <w:pPr>
        <w:ind w:left="720" w:hanging="360"/>
      </w:pPr>
      <w:rPr>
        <w:rFonts w:ascii="Symbol" w:hAnsi="Symbol" w:hint="default"/>
      </w:rPr>
    </w:lvl>
    <w:lvl w:ilvl="1" w:tplc="57746E98">
      <w:start w:val="1"/>
      <w:numFmt w:val="bullet"/>
      <w:lvlText w:val="o"/>
      <w:lvlJc w:val="left"/>
      <w:pPr>
        <w:ind w:left="1440" w:hanging="360"/>
      </w:pPr>
      <w:rPr>
        <w:rFonts w:ascii="Courier New" w:hAnsi="Courier New" w:hint="default"/>
      </w:rPr>
    </w:lvl>
    <w:lvl w:ilvl="2" w:tplc="5CAA6EA8">
      <w:start w:val="1"/>
      <w:numFmt w:val="bullet"/>
      <w:lvlText w:val=""/>
      <w:lvlJc w:val="left"/>
      <w:pPr>
        <w:ind w:left="2160" w:hanging="360"/>
      </w:pPr>
      <w:rPr>
        <w:rFonts w:ascii="Wingdings" w:hAnsi="Wingdings" w:hint="default"/>
      </w:rPr>
    </w:lvl>
    <w:lvl w:ilvl="3" w:tplc="7EE203A6">
      <w:start w:val="1"/>
      <w:numFmt w:val="bullet"/>
      <w:lvlText w:val=""/>
      <w:lvlJc w:val="left"/>
      <w:pPr>
        <w:ind w:left="2880" w:hanging="360"/>
      </w:pPr>
      <w:rPr>
        <w:rFonts w:ascii="Symbol" w:hAnsi="Symbol" w:hint="default"/>
      </w:rPr>
    </w:lvl>
    <w:lvl w:ilvl="4" w:tplc="60E474AC">
      <w:start w:val="1"/>
      <w:numFmt w:val="bullet"/>
      <w:lvlText w:val="o"/>
      <w:lvlJc w:val="left"/>
      <w:pPr>
        <w:ind w:left="3600" w:hanging="360"/>
      </w:pPr>
      <w:rPr>
        <w:rFonts w:ascii="Courier New" w:hAnsi="Courier New" w:hint="default"/>
      </w:rPr>
    </w:lvl>
    <w:lvl w:ilvl="5" w:tplc="64D6FDAE">
      <w:start w:val="1"/>
      <w:numFmt w:val="bullet"/>
      <w:lvlText w:val=""/>
      <w:lvlJc w:val="left"/>
      <w:pPr>
        <w:ind w:left="4320" w:hanging="360"/>
      </w:pPr>
      <w:rPr>
        <w:rFonts w:ascii="Wingdings" w:hAnsi="Wingdings" w:hint="default"/>
      </w:rPr>
    </w:lvl>
    <w:lvl w:ilvl="6" w:tplc="919463C0">
      <w:start w:val="1"/>
      <w:numFmt w:val="bullet"/>
      <w:lvlText w:val=""/>
      <w:lvlJc w:val="left"/>
      <w:pPr>
        <w:ind w:left="5040" w:hanging="360"/>
      </w:pPr>
      <w:rPr>
        <w:rFonts w:ascii="Symbol" w:hAnsi="Symbol" w:hint="default"/>
      </w:rPr>
    </w:lvl>
    <w:lvl w:ilvl="7" w:tplc="3304A9CC">
      <w:start w:val="1"/>
      <w:numFmt w:val="bullet"/>
      <w:lvlText w:val="o"/>
      <w:lvlJc w:val="left"/>
      <w:pPr>
        <w:ind w:left="5760" w:hanging="360"/>
      </w:pPr>
      <w:rPr>
        <w:rFonts w:ascii="Courier New" w:hAnsi="Courier New" w:hint="default"/>
      </w:rPr>
    </w:lvl>
    <w:lvl w:ilvl="8" w:tplc="67F45CCC">
      <w:start w:val="1"/>
      <w:numFmt w:val="bullet"/>
      <w:lvlText w:val=""/>
      <w:lvlJc w:val="left"/>
      <w:pPr>
        <w:ind w:left="6480" w:hanging="360"/>
      </w:pPr>
      <w:rPr>
        <w:rFonts w:ascii="Wingdings" w:hAnsi="Wingdings" w:hint="default"/>
      </w:rPr>
    </w:lvl>
  </w:abstractNum>
  <w:abstractNum w:abstractNumId="5" w15:restartNumberingAfterBreak="0">
    <w:nsid w:val="4DC9EF24"/>
    <w:multiLevelType w:val="hybridMultilevel"/>
    <w:tmpl w:val="8C16CAE8"/>
    <w:lvl w:ilvl="0" w:tplc="A5344374">
      <w:start w:val="1"/>
      <w:numFmt w:val="bullet"/>
      <w:lvlText w:val=""/>
      <w:lvlJc w:val="left"/>
      <w:pPr>
        <w:ind w:left="720" w:hanging="360"/>
      </w:pPr>
      <w:rPr>
        <w:rFonts w:ascii="Symbol" w:hAnsi="Symbol" w:hint="default"/>
      </w:rPr>
    </w:lvl>
    <w:lvl w:ilvl="1" w:tplc="47B0BACA">
      <w:start w:val="1"/>
      <w:numFmt w:val="bullet"/>
      <w:lvlText w:val="o"/>
      <w:lvlJc w:val="left"/>
      <w:pPr>
        <w:ind w:left="1440" w:hanging="360"/>
      </w:pPr>
      <w:rPr>
        <w:rFonts w:ascii="Courier New" w:hAnsi="Courier New" w:hint="default"/>
      </w:rPr>
    </w:lvl>
    <w:lvl w:ilvl="2" w:tplc="91E2F314">
      <w:start w:val="1"/>
      <w:numFmt w:val="bullet"/>
      <w:lvlText w:val=""/>
      <w:lvlJc w:val="left"/>
      <w:pPr>
        <w:ind w:left="2160" w:hanging="360"/>
      </w:pPr>
      <w:rPr>
        <w:rFonts w:ascii="Wingdings" w:hAnsi="Wingdings" w:hint="default"/>
      </w:rPr>
    </w:lvl>
    <w:lvl w:ilvl="3" w:tplc="0FE896CA">
      <w:start w:val="1"/>
      <w:numFmt w:val="bullet"/>
      <w:lvlText w:val=""/>
      <w:lvlJc w:val="left"/>
      <w:pPr>
        <w:ind w:left="2880" w:hanging="360"/>
      </w:pPr>
      <w:rPr>
        <w:rFonts w:ascii="Symbol" w:hAnsi="Symbol" w:hint="default"/>
      </w:rPr>
    </w:lvl>
    <w:lvl w:ilvl="4" w:tplc="3D683300">
      <w:start w:val="1"/>
      <w:numFmt w:val="bullet"/>
      <w:lvlText w:val="o"/>
      <w:lvlJc w:val="left"/>
      <w:pPr>
        <w:ind w:left="3600" w:hanging="360"/>
      </w:pPr>
      <w:rPr>
        <w:rFonts w:ascii="Courier New" w:hAnsi="Courier New" w:hint="default"/>
      </w:rPr>
    </w:lvl>
    <w:lvl w:ilvl="5" w:tplc="E64EEB20">
      <w:start w:val="1"/>
      <w:numFmt w:val="bullet"/>
      <w:lvlText w:val=""/>
      <w:lvlJc w:val="left"/>
      <w:pPr>
        <w:ind w:left="4320" w:hanging="360"/>
      </w:pPr>
      <w:rPr>
        <w:rFonts w:ascii="Wingdings" w:hAnsi="Wingdings" w:hint="default"/>
      </w:rPr>
    </w:lvl>
    <w:lvl w:ilvl="6" w:tplc="A7329580">
      <w:start w:val="1"/>
      <w:numFmt w:val="bullet"/>
      <w:lvlText w:val=""/>
      <w:lvlJc w:val="left"/>
      <w:pPr>
        <w:ind w:left="5040" w:hanging="360"/>
      </w:pPr>
      <w:rPr>
        <w:rFonts w:ascii="Symbol" w:hAnsi="Symbol" w:hint="default"/>
      </w:rPr>
    </w:lvl>
    <w:lvl w:ilvl="7" w:tplc="F22C1CA8">
      <w:start w:val="1"/>
      <w:numFmt w:val="bullet"/>
      <w:lvlText w:val="o"/>
      <w:lvlJc w:val="left"/>
      <w:pPr>
        <w:ind w:left="5760" w:hanging="360"/>
      </w:pPr>
      <w:rPr>
        <w:rFonts w:ascii="Courier New" w:hAnsi="Courier New" w:hint="default"/>
      </w:rPr>
    </w:lvl>
    <w:lvl w:ilvl="8" w:tplc="CDEC69E2">
      <w:start w:val="1"/>
      <w:numFmt w:val="bullet"/>
      <w:lvlText w:val=""/>
      <w:lvlJc w:val="left"/>
      <w:pPr>
        <w:ind w:left="6480" w:hanging="360"/>
      </w:pPr>
      <w:rPr>
        <w:rFonts w:ascii="Wingdings" w:hAnsi="Wingdings" w:hint="default"/>
      </w:rPr>
    </w:lvl>
  </w:abstractNum>
  <w:abstractNum w:abstractNumId="6" w15:restartNumberingAfterBreak="0">
    <w:nsid w:val="6B8C25B4"/>
    <w:multiLevelType w:val="multilevel"/>
    <w:tmpl w:val="2B3C0336"/>
    <w:lvl w:ilvl="0">
      <w:start w:val="1"/>
      <w:numFmt w:val="decimal"/>
      <w:lvlText w:val="%1."/>
      <w:lvlJc w:val="left"/>
      <w:pPr>
        <w:ind w:left="720" w:hanging="720"/>
      </w:pPr>
      <w:rPr>
        <w:rFonts w:ascii="Arial" w:hAnsi="Arial" w:hint="default"/>
        <w:b/>
        <w:sz w:val="24"/>
      </w:rPr>
    </w:lvl>
    <w:lvl w:ilvl="1">
      <w:start w:val="1"/>
      <w:numFmt w:val="decimal"/>
      <w:lvlText w:val="%1.%2."/>
      <w:lvlJc w:val="left"/>
      <w:pPr>
        <w:ind w:left="720" w:hanging="720"/>
      </w:pPr>
      <w:rPr>
        <w:rFonts w:ascii="Arial" w:hAnsi="Arial" w:hint="default"/>
        <w:b w:val="0"/>
        <w:bCs/>
        <w:i w:val="0"/>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7" w15:restartNumberingAfterBreak="0">
    <w:nsid w:val="6FF549A5"/>
    <w:multiLevelType w:val="hybridMultilevel"/>
    <w:tmpl w:val="5B346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37859422">
    <w:abstractNumId w:val="1"/>
  </w:num>
  <w:num w:numId="2" w16cid:durableId="900020283">
    <w:abstractNumId w:val="3"/>
  </w:num>
  <w:num w:numId="3" w16cid:durableId="687175361">
    <w:abstractNumId w:val="0"/>
  </w:num>
  <w:num w:numId="4" w16cid:durableId="218135434">
    <w:abstractNumId w:val="5"/>
  </w:num>
  <w:num w:numId="5" w16cid:durableId="2031370075">
    <w:abstractNumId w:val="4"/>
  </w:num>
  <w:num w:numId="6" w16cid:durableId="838693037">
    <w:abstractNumId w:val="6"/>
  </w:num>
  <w:num w:numId="7" w16cid:durableId="1983148564">
    <w:abstractNumId w:val="7"/>
  </w:num>
  <w:num w:numId="8" w16cid:durableId="1788813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64"/>
    <w:rsid w:val="00027A2A"/>
    <w:rsid w:val="000C5281"/>
    <w:rsid w:val="000D2B35"/>
    <w:rsid w:val="000E1586"/>
    <w:rsid w:val="001070EC"/>
    <w:rsid w:val="00183F3B"/>
    <w:rsid w:val="001916CD"/>
    <w:rsid w:val="00197D3A"/>
    <w:rsid w:val="001B110F"/>
    <w:rsid w:val="001E45A0"/>
    <w:rsid w:val="0020486B"/>
    <w:rsid w:val="00240110"/>
    <w:rsid w:val="0024500E"/>
    <w:rsid w:val="00252DAB"/>
    <w:rsid w:val="002534ED"/>
    <w:rsid w:val="002C07CD"/>
    <w:rsid w:val="002D0B20"/>
    <w:rsid w:val="00346A0D"/>
    <w:rsid w:val="00364B0F"/>
    <w:rsid w:val="003659A8"/>
    <w:rsid w:val="00380956"/>
    <w:rsid w:val="003C5085"/>
    <w:rsid w:val="003F07B3"/>
    <w:rsid w:val="00412567"/>
    <w:rsid w:val="0045444D"/>
    <w:rsid w:val="00460790"/>
    <w:rsid w:val="004A1F43"/>
    <w:rsid w:val="004C6206"/>
    <w:rsid w:val="00506798"/>
    <w:rsid w:val="00520EAB"/>
    <w:rsid w:val="005B47B2"/>
    <w:rsid w:val="00605177"/>
    <w:rsid w:val="00611A38"/>
    <w:rsid w:val="00675AEF"/>
    <w:rsid w:val="006D145F"/>
    <w:rsid w:val="007022E7"/>
    <w:rsid w:val="00727D9C"/>
    <w:rsid w:val="00753EDE"/>
    <w:rsid w:val="0075C3C0"/>
    <w:rsid w:val="00780688"/>
    <w:rsid w:val="007C4C1F"/>
    <w:rsid w:val="00826579"/>
    <w:rsid w:val="008776AF"/>
    <w:rsid w:val="00885756"/>
    <w:rsid w:val="00893653"/>
    <w:rsid w:val="008A0E81"/>
    <w:rsid w:val="008A53D9"/>
    <w:rsid w:val="008E731B"/>
    <w:rsid w:val="00A21A28"/>
    <w:rsid w:val="00A513DC"/>
    <w:rsid w:val="00A86111"/>
    <w:rsid w:val="00B334C8"/>
    <w:rsid w:val="00B34282"/>
    <w:rsid w:val="00B3746B"/>
    <w:rsid w:val="00B42B18"/>
    <w:rsid w:val="00BA143A"/>
    <w:rsid w:val="00BE4179"/>
    <w:rsid w:val="00C362EE"/>
    <w:rsid w:val="00C47224"/>
    <w:rsid w:val="00C85FB4"/>
    <w:rsid w:val="00CE1160"/>
    <w:rsid w:val="00CE28E7"/>
    <w:rsid w:val="00D23D09"/>
    <w:rsid w:val="00D24AD9"/>
    <w:rsid w:val="00D970DD"/>
    <w:rsid w:val="00DA0620"/>
    <w:rsid w:val="00DB272B"/>
    <w:rsid w:val="00DC0B10"/>
    <w:rsid w:val="00DD3FC7"/>
    <w:rsid w:val="00E11253"/>
    <w:rsid w:val="00E62F0D"/>
    <w:rsid w:val="00E72A64"/>
    <w:rsid w:val="00EA58D0"/>
    <w:rsid w:val="00EC5319"/>
    <w:rsid w:val="00ECF16F"/>
    <w:rsid w:val="00EE50DC"/>
    <w:rsid w:val="00EF166E"/>
    <w:rsid w:val="00F1559E"/>
    <w:rsid w:val="00F67EBA"/>
    <w:rsid w:val="00FC5DE8"/>
    <w:rsid w:val="00FC608E"/>
    <w:rsid w:val="00FF4204"/>
    <w:rsid w:val="0124F736"/>
    <w:rsid w:val="017F4199"/>
    <w:rsid w:val="01A22591"/>
    <w:rsid w:val="024E528A"/>
    <w:rsid w:val="03511A58"/>
    <w:rsid w:val="04D89A97"/>
    <w:rsid w:val="0538CB48"/>
    <w:rsid w:val="05934F37"/>
    <w:rsid w:val="079684F3"/>
    <w:rsid w:val="07D9EB86"/>
    <w:rsid w:val="07E6E285"/>
    <w:rsid w:val="09701150"/>
    <w:rsid w:val="09A650CE"/>
    <w:rsid w:val="0A8822B8"/>
    <w:rsid w:val="0AA23CB6"/>
    <w:rsid w:val="0AD1807E"/>
    <w:rsid w:val="0B1C1A87"/>
    <w:rsid w:val="0B24CC6C"/>
    <w:rsid w:val="0B2E2B91"/>
    <w:rsid w:val="0D666793"/>
    <w:rsid w:val="0FC1E00E"/>
    <w:rsid w:val="102CF1A9"/>
    <w:rsid w:val="10CD6322"/>
    <w:rsid w:val="10FB0155"/>
    <w:rsid w:val="119A39C8"/>
    <w:rsid w:val="12337533"/>
    <w:rsid w:val="1334608F"/>
    <w:rsid w:val="13761E9D"/>
    <w:rsid w:val="1397EF07"/>
    <w:rsid w:val="14EB6BEE"/>
    <w:rsid w:val="151DF9E0"/>
    <w:rsid w:val="16D09396"/>
    <w:rsid w:val="1717C5BC"/>
    <w:rsid w:val="18D52F00"/>
    <w:rsid w:val="19862451"/>
    <w:rsid w:val="1A0C1B58"/>
    <w:rsid w:val="1A8EE0D8"/>
    <w:rsid w:val="1BCDCFA0"/>
    <w:rsid w:val="1D8B20B4"/>
    <w:rsid w:val="1D94E2FF"/>
    <w:rsid w:val="1DCD99F6"/>
    <w:rsid w:val="1DEE32A8"/>
    <w:rsid w:val="1E88DDF5"/>
    <w:rsid w:val="203744F2"/>
    <w:rsid w:val="22E543EC"/>
    <w:rsid w:val="22F41E5E"/>
    <w:rsid w:val="2414969D"/>
    <w:rsid w:val="249FC41B"/>
    <w:rsid w:val="2502D9C0"/>
    <w:rsid w:val="25755AE2"/>
    <w:rsid w:val="26F682F6"/>
    <w:rsid w:val="2724C1D3"/>
    <w:rsid w:val="28B28C29"/>
    <w:rsid w:val="296EC886"/>
    <w:rsid w:val="29F73935"/>
    <w:rsid w:val="2A3B2B95"/>
    <w:rsid w:val="2AE2BDD9"/>
    <w:rsid w:val="2B951A38"/>
    <w:rsid w:val="2C5F6ACD"/>
    <w:rsid w:val="2D6DC01B"/>
    <w:rsid w:val="2E8FEB82"/>
    <w:rsid w:val="2EC44947"/>
    <w:rsid w:val="2ED0BF39"/>
    <w:rsid w:val="30F2B280"/>
    <w:rsid w:val="316459AA"/>
    <w:rsid w:val="323B4F10"/>
    <w:rsid w:val="3241A35D"/>
    <w:rsid w:val="32A7716F"/>
    <w:rsid w:val="32D665FE"/>
    <w:rsid w:val="33022CEA"/>
    <w:rsid w:val="3456CCBB"/>
    <w:rsid w:val="34850061"/>
    <w:rsid w:val="34D6A48A"/>
    <w:rsid w:val="3519EF22"/>
    <w:rsid w:val="355F90C0"/>
    <w:rsid w:val="36ABAF6D"/>
    <w:rsid w:val="36E7A55E"/>
    <w:rsid w:val="37609BF0"/>
    <w:rsid w:val="3790B0D0"/>
    <w:rsid w:val="3A85F7C4"/>
    <w:rsid w:val="3ACCB441"/>
    <w:rsid w:val="3BE7E752"/>
    <w:rsid w:val="3C5084E1"/>
    <w:rsid w:val="3D01331F"/>
    <w:rsid w:val="3DCB0F17"/>
    <w:rsid w:val="3DD2F0A9"/>
    <w:rsid w:val="3E15546A"/>
    <w:rsid w:val="3F0D41DD"/>
    <w:rsid w:val="3F6A8C55"/>
    <w:rsid w:val="408B1C7D"/>
    <w:rsid w:val="41647640"/>
    <w:rsid w:val="423A5980"/>
    <w:rsid w:val="430A6790"/>
    <w:rsid w:val="43C31B76"/>
    <w:rsid w:val="44179AEB"/>
    <w:rsid w:val="45C6FE6A"/>
    <w:rsid w:val="464FE8DD"/>
    <w:rsid w:val="4696DD51"/>
    <w:rsid w:val="46CFA9C2"/>
    <w:rsid w:val="483B84C6"/>
    <w:rsid w:val="4883C783"/>
    <w:rsid w:val="49DB3139"/>
    <w:rsid w:val="4A965FB7"/>
    <w:rsid w:val="4B5EA68E"/>
    <w:rsid w:val="4BE5ECB4"/>
    <w:rsid w:val="4C2EB3D5"/>
    <w:rsid w:val="4CCB14C8"/>
    <w:rsid w:val="4D324F32"/>
    <w:rsid w:val="4D65ED4F"/>
    <w:rsid w:val="4E33EDC4"/>
    <w:rsid w:val="4EF56D12"/>
    <w:rsid w:val="4F96C3C0"/>
    <w:rsid w:val="5029D702"/>
    <w:rsid w:val="50B8211E"/>
    <w:rsid w:val="510E18A2"/>
    <w:rsid w:val="51FD4341"/>
    <w:rsid w:val="52C90E3F"/>
    <w:rsid w:val="530325DC"/>
    <w:rsid w:val="534C89EC"/>
    <w:rsid w:val="540B61AD"/>
    <w:rsid w:val="553A7F99"/>
    <w:rsid w:val="55BAB639"/>
    <w:rsid w:val="563339BA"/>
    <w:rsid w:val="564E079D"/>
    <w:rsid w:val="56AC2630"/>
    <w:rsid w:val="570C39CD"/>
    <w:rsid w:val="57351865"/>
    <w:rsid w:val="5736A2F9"/>
    <w:rsid w:val="5760AE47"/>
    <w:rsid w:val="57D0B57B"/>
    <w:rsid w:val="58646327"/>
    <w:rsid w:val="58F82D36"/>
    <w:rsid w:val="593E7C4B"/>
    <w:rsid w:val="59EDBCF7"/>
    <w:rsid w:val="5A0DB3DD"/>
    <w:rsid w:val="5A629C19"/>
    <w:rsid w:val="5CEA0D69"/>
    <w:rsid w:val="5D8C5668"/>
    <w:rsid w:val="5E22EE86"/>
    <w:rsid w:val="5E53E9E5"/>
    <w:rsid w:val="5E750FE7"/>
    <w:rsid w:val="5F638567"/>
    <w:rsid w:val="60642993"/>
    <w:rsid w:val="60D7D249"/>
    <w:rsid w:val="62883EAE"/>
    <w:rsid w:val="630C55AD"/>
    <w:rsid w:val="646ECCCB"/>
    <w:rsid w:val="64DA9F5D"/>
    <w:rsid w:val="64FF3EF7"/>
    <w:rsid w:val="6524F985"/>
    <w:rsid w:val="654BCDCE"/>
    <w:rsid w:val="6588FA44"/>
    <w:rsid w:val="664F3B77"/>
    <w:rsid w:val="671837E1"/>
    <w:rsid w:val="671950B7"/>
    <w:rsid w:val="679D1AAC"/>
    <w:rsid w:val="682C9543"/>
    <w:rsid w:val="6899123C"/>
    <w:rsid w:val="68D1FDA0"/>
    <w:rsid w:val="6930451E"/>
    <w:rsid w:val="699D875F"/>
    <w:rsid w:val="6AB24556"/>
    <w:rsid w:val="6B475158"/>
    <w:rsid w:val="6BB16618"/>
    <w:rsid w:val="6C8F68F8"/>
    <w:rsid w:val="6CB4ECFF"/>
    <w:rsid w:val="6D0D8313"/>
    <w:rsid w:val="6DCB9CE1"/>
    <w:rsid w:val="6E4B9CCA"/>
    <w:rsid w:val="6F2B87F1"/>
    <w:rsid w:val="6F340463"/>
    <w:rsid w:val="706183D5"/>
    <w:rsid w:val="708F516B"/>
    <w:rsid w:val="74932540"/>
    <w:rsid w:val="749B1063"/>
    <w:rsid w:val="7593F48D"/>
    <w:rsid w:val="76A1F868"/>
    <w:rsid w:val="776E5CCC"/>
    <w:rsid w:val="788874A3"/>
    <w:rsid w:val="79EC54DB"/>
    <w:rsid w:val="7A9BB1D6"/>
    <w:rsid w:val="7C7FEF87"/>
    <w:rsid w:val="7D8A0557"/>
    <w:rsid w:val="7DAE5045"/>
    <w:rsid w:val="7DE17BC9"/>
    <w:rsid w:val="7FD9A710"/>
    <w:rsid w:val="7FF6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A90B"/>
  <w15:chartTrackingRefBased/>
  <w15:docId w15:val="{D7A47016-8DF6-4FFF-9217-A3F222A9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6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2A64"/>
    <w:pPr>
      <w:spacing w:after="120"/>
    </w:pPr>
    <w:rPr>
      <w:sz w:val="24"/>
      <w:szCs w:val="24"/>
    </w:rPr>
  </w:style>
  <w:style w:type="character" w:customStyle="1" w:styleId="BodyTextChar">
    <w:name w:val="Body Text Char"/>
    <w:basedOn w:val="DefaultParagraphFont"/>
    <w:link w:val="BodyText"/>
    <w:rsid w:val="00E72A6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5AEF"/>
    <w:pPr>
      <w:overflowPunct w:val="0"/>
      <w:autoSpaceDE w:val="0"/>
      <w:autoSpaceDN w:val="0"/>
      <w:adjustRightInd w:val="0"/>
      <w:ind w:left="720"/>
      <w:textAlignment w:val="baseline"/>
    </w:pPr>
    <w:rPr>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D0B20"/>
    <w:pPr>
      <w:tabs>
        <w:tab w:val="center" w:pos="4513"/>
        <w:tab w:val="right" w:pos="9026"/>
      </w:tabs>
    </w:pPr>
  </w:style>
  <w:style w:type="character" w:customStyle="1" w:styleId="HeaderChar">
    <w:name w:val="Header Char"/>
    <w:basedOn w:val="DefaultParagraphFont"/>
    <w:link w:val="Header"/>
    <w:uiPriority w:val="99"/>
    <w:semiHidden/>
    <w:rsid w:val="002D0B20"/>
    <w:rPr>
      <w:rFonts w:ascii="Times New Roman" w:eastAsia="Times New Roman" w:hAnsi="Times New Roman" w:cs="Times New Roman"/>
      <w:sz w:val="20"/>
      <w:szCs w:val="20"/>
      <w:lang w:eastAsia="en-GB"/>
    </w:rPr>
  </w:style>
  <w:style w:type="paragraph" w:styleId="Footer">
    <w:name w:val="footer"/>
    <w:basedOn w:val="Normal"/>
    <w:link w:val="FooterChar"/>
    <w:uiPriority w:val="99"/>
    <w:semiHidden/>
    <w:unhideWhenUsed/>
    <w:rsid w:val="002D0B20"/>
    <w:pPr>
      <w:tabs>
        <w:tab w:val="center" w:pos="4513"/>
        <w:tab w:val="right" w:pos="9026"/>
      </w:tabs>
    </w:pPr>
  </w:style>
  <w:style w:type="character" w:customStyle="1" w:styleId="FooterChar">
    <w:name w:val="Footer Char"/>
    <w:basedOn w:val="DefaultParagraphFont"/>
    <w:link w:val="Footer"/>
    <w:uiPriority w:val="99"/>
    <w:semiHidden/>
    <w:rsid w:val="002D0B2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7597">
      <w:bodyDiv w:val="1"/>
      <w:marLeft w:val="0"/>
      <w:marRight w:val="0"/>
      <w:marTop w:val="0"/>
      <w:marBottom w:val="0"/>
      <w:divBdr>
        <w:top w:val="none" w:sz="0" w:space="0" w:color="auto"/>
        <w:left w:val="none" w:sz="0" w:space="0" w:color="auto"/>
        <w:bottom w:val="none" w:sz="0" w:space="0" w:color="auto"/>
        <w:right w:val="none" w:sz="0" w:space="0" w:color="auto"/>
      </w:divBdr>
    </w:div>
    <w:div w:id="189144361">
      <w:bodyDiv w:val="1"/>
      <w:marLeft w:val="0"/>
      <w:marRight w:val="0"/>
      <w:marTop w:val="0"/>
      <w:marBottom w:val="0"/>
      <w:divBdr>
        <w:top w:val="none" w:sz="0" w:space="0" w:color="auto"/>
        <w:left w:val="none" w:sz="0" w:space="0" w:color="auto"/>
        <w:bottom w:val="none" w:sz="0" w:space="0" w:color="auto"/>
        <w:right w:val="none" w:sz="0" w:space="0" w:color="auto"/>
      </w:divBdr>
    </w:div>
    <w:div w:id="2697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00675-6341-4299-BCD2-2540F63D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c3dd-f23e-41bc-a083-31d29a50778a"/>
    <ds:schemaRef ds:uri="c9f2d4db-0bc1-444e-b433-bf2be050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B650B-87EC-4778-A190-B1B0073F1062}">
  <ds:schemaRefs>
    <ds:schemaRef ds:uri="http://schemas.microsoft.com/sharepoint/v3/contenttype/forms"/>
  </ds:schemaRefs>
</ds:datastoreItem>
</file>

<file path=customXml/itemProps3.xml><?xml version="1.0" encoding="utf-8"?>
<ds:datastoreItem xmlns:ds="http://schemas.openxmlformats.org/officeDocument/2006/customXml" ds:itemID="{D87A66D7-201C-4754-8229-B5C15346F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1963</Words>
  <Characters>11194</Characters>
  <Application>Microsoft Office Word</Application>
  <DocSecurity>0</DocSecurity>
  <Lines>93</Lines>
  <Paragraphs>26</Paragraphs>
  <ScaleCrop>false</ScaleCrop>
  <Company>Kent Police and Essex Police</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 42077841</dc:creator>
  <cp:keywords/>
  <dc:description/>
  <cp:lastModifiedBy>Phillipa Brent-Isherwood 42078923</cp:lastModifiedBy>
  <cp:revision>28</cp:revision>
  <dcterms:created xsi:type="dcterms:W3CDTF">2024-05-17T13:47:00Z</dcterms:created>
  <dcterms:modified xsi:type="dcterms:W3CDTF">2024-05-31T16:28:00Z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2023-05-10T12:17:28Z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20526554-232f-4be4-a407-20c99aecf8a5</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y fmtid="{D5CDD505-2E9C-101B-9397-08002B2CF9AE}" pid="10" name="Order">
    <vt:r8>106200</vt:r8>
  </property>
  <property fmtid="{D5CDD505-2E9C-101B-9397-08002B2CF9AE}" pid="11" name="MediaServiceImageTags">
    <vt:lpwstr/>
  </property>
</Properties>
</file>